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NW_28355 (Nordrhein-Westfalen) — Ordnungswidrigkeiten</w:t>
      </w:r>
    </w:p>
    <w:p>
      <w:r>
        <w:rPr>
          <w:color w:val="555555"/>
          <w:sz w:val="18"/>
        </w:rPr>
        <w:t xml:space="preserve">SeilbG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Geldbuße bis zu fünftausend Euro kann belegt werden, wer vorsätzlich oder fahrlässig</w:t>
      </w:r>
    </w:p>
    <w:p>
      <w:r>
        <w:t xml:space="preserve">1. entgegen § 4 Absatz 4 oder § 6 Absatz. 1 oder § 14 Absatz 1 eine Seilbahn betreibt oder</w:t>
      </w:r>
    </w:p>
    <w:p>
      <w:r>
        <w:t xml:space="preserve">2. entgegen § 13 Absatz 1 der Aufsichtsbehörde, der anerkannten sachverständigen Stelle oder der nach § 16 Abs.2 Satz 2 beauftragten Stelle nicht alle Vorkommnisse mitteilt, die für die Betriebssicherheit der Seilbahn von Bedeutung sein können oder die geeignet sind, die Einstellung des Betriebs herbeizuführen.</w:t>
      </w:r>
    </w:p>
    <w:p>
      <w:r>
        <w:rPr>
          <w:color w:val="555555"/>
          <w:sz w:val="17"/>
        </w:rPr>
        <w:t xml:space="preserve">Zitiervorschlag: § 20 NW_28355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https://recht.nulegal.eu/gesetze/NW_28355/20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