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NW_28355 (Nordrhein-Westfalen) — Anwendungsbereich</w:t>
      </w:r>
    </w:p>
    <w:p>
      <w:r>
        <w:rPr>
          <w:color w:val="555555"/>
          <w:sz w:val="18"/>
        </w:rPr>
        <w:t xml:space="preserve">SeilbG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gilt für Seilbahnen, die der Personenbeförderung und dem öffentlichen Güterverkehr dienen.</w:t>
      </w:r>
    </w:p>
    <w:p>
      <w:r>
        <w:t xml:space="preserve">(2) Dieses Gesetz gilt nicht für Anlagen gemäß Artikel 2 Absatz 2 Buchstabe a und c bis g der Verordnung (EU) Nr. 2016/424 des Europäischen Parlaments und des Rates vom 9. März 2016 über Seilbahnen und zur Aufhebung der Richtlinie 2000/9/EG (ABl. L 81 vom 31.3.2016, S. 1, L 266 vom 30.9.2016, S. 8).</w:t>
      </w:r>
    </w:p>
    <w:p>
      <w:r>
        <w:t xml:space="preserve">(3) Dieses Gesetz gilt mit Ausnahme von §§ 2, 4 Absatz 2 und 3 Satz 2 und 3, § 5 Absatz 1 Satz 2, § 16 Absatz 3 und § 19 Absatz 1 Nummer 12 und 13 für Zahnradbahnen des öffentlichen Verkehrs sinngemäß.</w:t>
      </w:r>
    </w:p>
    <w:p>
      <w:r>
        <w:rPr>
          <w:color w:val="555555"/>
          <w:sz w:val="17"/>
        </w:rPr>
        <w:t xml:space="preserve">Zitiervorschlag: § 1 NW_28355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https://recht.nulegal.eu/gesetze/NW_28355/1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