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NW_28354 (Nordrhein-Westfalen)</w:t>
      </w:r>
    </w:p>
    <w:p>
      <w:r>
        <w:rPr>
          <w:color w:val="555555"/>
          <w:sz w:val="18"/>
        </w:rPr>
        <w:t xml:space="preserve">Verordnung zur Übertragung von Ermächtigungen zum Erlass von Rechtsverordnungen über den elektronischen Rechtsverkehr in gerichtlichen Verfahren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Ermächtigung zum Erlass weiterer Rechtsverordnungen nach § 77a Abs. 2 Satz 1 der Finanzgerichtsordnung wird auf das Justizministerium übertragen. Die Übertragung umfasst die Befugnis zur Änderung und Aufhebung von Artikel 1 dieser Verordnung einschließlich der Anlage zu Artikel 1 § 2.</w:t>
      </w:r>
    </w:p>
    <w:p>
      <w:r>
        <w:t xml:space="preserve">Hinweis</w:t>
      </w:r>
    </w:p>
    <w:p>
      <w:r>
        <w:t xml:space="preserve">In-Kraft-Treten und Außer-Kraft-Treten</w:t>
      </w:r>
    </w:p>
    <w:p>
      <w:r>
        <w:t xml:space="preserve">(Artikel 3 Satz 1 der VO über den elektronischen Rechtsverkehr in gerichtlichen Verfahren v. 9.12.2003 (GV. NRW. S. 759))</w:t>
      </w:r>
    </w:p>
    <w:p>
      <w:r>
        <w:t xml:space="preserve">Diese Verordnung tritt am Tage nach ihrer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Justizminister</w:t>
      </w:r>
    </w:p>
    <w:p>
      <w:r>
        <w:rPr>
          <w:color w:val="555555"/>
          <w:sz w:val="17"/>
        </w:rPr>
        <w:t xml:space="preserve">Zitiervorschlag: § 2 NW_28354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https://recht.nulegal.eu/gesetze/NW_28354/2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