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NW_28354 (Nordrhein-Westfalen)</w:t>
      </w:r>
    </w:p>
    <w:p>
      <w:r>
        <w:rPr>
          <w:color w:val="555555"/>
          <w:sz w:val="18"/>
        </w:rPr>
        <w:t xml:space="preserve">Verordnung zur Übertragung von Ermächtigungen zum Erlass von Rechtsverordnungen über den elektronischen Rechtsverkehr in gerichtlichen Verfahren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Ermächtigungen zum Erlass von Rechtsverordnungen nach</w:t>
      </w:r>
    </w:p>
    <w:p>
      <w:r>
        <w:t xml:space="preserve">1. § 130a Abs. 2 Satz 1 der Zivilprozessordnung,</w:t>
      </w:r>
    </w:p>
    <w:p>
      <w:r>
        <w:t xml:space="preserve">2. § 21 Abs. 3 Satz 1 des Gesetzes über die Angelegenheiten der freiwilligen Gerichtsbarkeit,</w:t>
      </w:r>
    </w:p>
    <w:p>
      <w:r>
        <w:t xml:space="preserve">3. § 81 Abs. 3 Satz 1 der Grundbuchordnung,</w:t>
      </w:r>
    </w:p>
    <w:p>
      <w:r>
        <w:t xml:space="preserve">4. § 89 Abs. 3 Satz 1 der Schiffsregisterordnung,</w:t>
      </w:r>
    </w:p>
    <w:p>
      <w:r>
        <w:t xml:space="preserve">5. § 46b Abs. 2 Satz 1 des Arbeitsgerichtsgesetzes,</w:t>
      </w:r>
    </w:p>
    <w:p>
      <w:r>
        <w:t xml:space="preserve">6. § 108a Abs. 2 Satz 1 des Sozialgerichtsgesetzes und</w:t>
      </w:r>
    </w:p>
    <w:p>
      <w:r>
        <w:t xml:space="preserve">7. § 86a Abs. 2 Satz 1 der Verwaltungsgerichtsordnung</w:t>
      </w:r>
    </w:p>
    <w:p>
      <w:r>
        <w:t xml:space="preserve">werden auf das Justizministerium übertragen.</w:t>
      </w:r>
    </w:p>
    <w:p>
      <w:r>
        <w:rPr>
          <w:color w:val="555555"/>
          <w:sz w:val="17"/>
        </w:rPr>
        <w:t xml:space="preserve">Zitiervorschlag: § 1 NW_28354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https://recht.nulegal.eu/gesetze/NW_28354/1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