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NW_28343 (Nordrhein-Westfalen) — Weser-Ministerkonferenz</w:t>
      </w:r>
    </w:p>
    <w:p>
      <w:r>
        <w:rPr>
          <w:color w:val="555555"/>
          <w:sz w:val="18"/>
        </w:rPr>
        <w:t xml:space="preserve">Bekanntmachung der Verwaltungsvereinbarung über die Bildung einer Flussgebietsgemeinschaft Weser (FGG Weser) – in der Flussgebietseinheit Weser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Weser-Ministerkonferenz setzt sich aus den für die Wasserwirtschaft zuständigen Ministerinnen / Ministern oder Senatorinnen / Senatoren der Länder bzw. den von diesen benannten Vertreterinnen / Vertretern zusammen.</w:t>
      </w:r>
    </w:p>
    <w:p>
      <w:r>
        <w:t xml:space="preserve">(2) Die Weser-Ministerkonferenz beschließt insbesondere über:</w:t>
      </w:r>
    </w:p>
    <w:p>
      <w:r>
        <w:t xml:space="preserve">– die grundsätzlichen wasserwirtschaftlichen Zielsetzungen und das Vorgehen zur Umsetzung der WRRL in der Flussgebietseinheit Weser,</w:t>
      </w:r>
    </w:p>
    <w:p>
      <w:r>
        <w:t xml:space="preserve">– Bewirtschaftungspläne und Maßnahmenprogramme für die FGG Weser sowie die nach WRRL erforderlichen Berichte nach Artikel 15 WRRL,</w:t>
      </w:r>
    </w:p>
    <w:p>
      <w:r>
        <w:t xml:space="preserve">– über die Lösung von Konflikten, über die der Weserrat keine Entscheidung treffen konnte,</w:t>
      </w:r>
    </w:p>
    <w:p>
      <w:r>
        <w:t xml:space="preserve">– die Geschäftsordnung.</w:t>
      </w:r>
    </w:p>
    <w:p>
      <w:r>
        <w:t xml:space="preserve">(3) Die Weser-Ministerkonferenz wird auf Antrag eines Vertragspartners einberufen.</w:t>
      </w:r>
    </w:p>
    <w:p>
      <w:r>
        <w:rPr>
          <w:color w:val="555555"/>
          <w:sz w:val="17"/>
        </w:rPr>
        <w:t xml:space="preserve">Zitiervorschlag: § 5 NW_28343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https://recht.nulegal.eu/gesetze/NW_28343/5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