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NW_28343 (Nordrhein-Westfalen) — Unterrichtungüber wasserwirtschaftliche Maßnahmen und Entscheidungen</w:t>
      </w:r>
    </w:p>
    <w:p>
      <w:r>
        <w:rPr>
          <w:color w:val="555555"/>
          <w:sz w:val="18"/>
        </w:rPr>
        <w:t xml:space="preserve">Bekanntmachung der Verwaltungsvereinbarung über die Bildung einer Flussgebietsgemeinschaft Weser (FGG Weser) – in der Flussgebietseinheit Weser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Im Rahmen der FGG Weser unterrichten die für die Wasserwirtschaft und das Wasserrecht zuständigen obersten Landesbehörden der Länder die FGG Weser rechtzeitig über wasserwirtschaftlich bedeutsame, den Gütezustand der Weser beeinflussende Maßnahmen und wasserrechtlichen Entscheidungen, insbesondere zur Reinhaltung der Weser.</w:t>
      </w:r>
    </w:p>
    <w:p>
      <w:r>
        <w:rPr>
          <w:color w:val="555555"/>
          <w:sz w:val="17"/>
        </w:rPr>
        <w:t xml:space="preserve">Zitiervorschlag: § 10 NW_28343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https://recht.nulegal.eu/gesetze/NW_28343/10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