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NW_28327 (Nordrhein-Westfalen)</w:t>
      </w:r>
    </w:p>
    <w:p>
      <w:r>
        <w:rPr>
          <w:color w:val="555555"/>
          <w:sz w:val="18"/>
        </w:rPr>
        <w:t xml:space="preserve">Fachsenate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9. September 2003</w:t>
      </w:r>
    </w:p>
    <w:p>
      <w:r>
        <w:t xml:space="preserve">Aufgrund von § 84 Abs. 2 Satz 3 des Bundespersonalvertretungsgesetzes vom 15. März 1974 (BGBl. I S. 693), zuletzt geändert durch Gesetz vom 9. Juli 2001 (BGBl. I S. 1510), wird verordnet:</w:t>
      </w:r>
    </w:p>
    <w:p>
      <w:r>
        <w:rPr>
          <w:color w:val="555555"/>
          <w:sz w:val="17"/>
        </w:rPr>
        <w:t xml:space="preserve">Zitiervorschlag: Volltext NW_28327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https://recht.nulegal.eu/gesetze/NW_28327/volltext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