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NW_28326 (Nordrhein-Westfalen)</w:t>
      </w:r>
    </w:p>
    <w:p>
      <w:r>
        <w:rPr>
          <w:color w:val="555555"/>
          <w:sz w:val="18"/>
        </w:rPr>
        <w:t xml:space="preserve">Fachsenate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9. September 2003</w:t>
      </w:r>
    </w:p>
    <w:p>
      <w:r>
        <w:t xml:space="preserve">Aufgrund von § 80 Abs. 2 Satz 4 des Landespersonalvertretungsgesetzes vom 3. Dezember 1974 (GV. NRW. S. 1514), zuletzt geändert durch Gesetz vom 27. November 2001 (GV. NRW. S. 811, ber. 2002 S. 22), wird verordnet:</w:t>
      </w:r>
    </w:p>
    <w:p>
      <w:r>
        <w:rPr>
          <w:color w:val="555555"/>
          <w:sz w:val="17"/>
        </w:rPr>
        <w:t xml:space="preserve">Zitiervorschlag: Volltext NW_28326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https://recht.nulegal.eu/gesetze/NW_28326/volltext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