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NW_28326 (Nordrhein-Westfalen) — In-Kraft-Treten</w:t>
      </w:r>
    </w:p>
    <w:p>
      <w:r>
        <w:rPr>
          <w:color w:val="555555"/>
          <w:sz w:val="18"/>
        </w:rPr>
        <w:t xml:space="preserve">Fachsenate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ihrer Verkündung in Kraft.</w:t>
      </w:r>
    </w:p>
    <w:p>
      <w:r>
        <w:t xml:space="preserve">Die Landesregierung</w:t>
      </w:r>
    </w:p>
    <w:p>
      <w:r>
        <w:t xml:space="preserve">Nordrhein-Westfalen</w:t>
      </w:r>
    </w:p>
    <w:p>
      <w:r>
        <w:t xml:space="preserve">Der Ministerpräsident</w:t>
      </w:r>
    </w:p>
    <w:p>
      <w:r>
        <w:t xml:space="preserve">Der Justizminister</w:t>
      </w:r>
    </w:p>
    <w:p>
      <w:r>
        <w:rPr>
          <w:color w:val="555555"/>
          <w:sz w:val="17"/>
        </w:rPr>
        <w:t xml:space="preserve">Zitiervorschlag: § 2 NW_28326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https://recht.nulegal.eu/gesetze/NW_28326/2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