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NW_28315 (Nordrhein-Westfalen) — Allgemeine Befugnisse, Begriffsbestimmung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kann die notwendigen Maßnahmen treffen, um eine im einzelnen Falle bestehende, konkrete Gefahr für die öffentliche Sicherheit oder Ordnung (Gefahr) abzuwehren, soweit nicht die §§ 9 bis 46 die Befugnisse der Polizei besonders regeln.</w:t>
      </w:r>
    </w:p>
    <w:p>
      <w:r>
        <w:t xml:space="preserve">(2) Zur Erfüllung der Aufgaben, die der Polizei durch andere Rechtsvorschriften zugewiesen sind (§ 1 Abs. 4), hat sie die dort vorgesehenen Befugnisse. Soweit solche Rechtsvorschriften Befugnisse der Polizei nicht regeln, hat sie die Befugnisse, die ihr nach diesem Gesetz zustehen.</w:t>
      </w:r>
    </w:p>
    <w:p>
      <w:r>
        <w:t xml:space="preserve">(3) Straftaten von erheblicher Bedeutung sind solche, die im Höchstmaß mit einer Freiheitsstrafe von mehr als drei Jahren bedroht sind. Besonders schwere Straftaten sind solche, die im Höchstmaß mit Freiheitsstrafe von mehr als fünf Jahren bedroht sind.</w:t>
      </w:r>
    </w:p>
    <w:p>
      <w:r>
        <w:t xml:space="preserve">(4) Straftaten nach</w:t>
      </w:r>
    </w:p>
    <w:p>
      <w:r>
        <w:t xml:space="preserve">1. § 211, § 212, § 226, § 227, § 239a, § 239b, § 303b, § 305, § 305a, §§ 306 bis 306 c, § 307 Absatz 1 bis 3, § 308 Absatz 1 bis 4, § 309 Absatz 1 bis 5, § 313, § 314, § 315 Absatz 1, 3 oder 4, § 316b Absatz 1 oder 3, § 316c Absatz 1 bis 3, § 317 Absatz 1, § 328 Absatz 1 oder 2, § 330 Absatz 1 oder 2 oder § 330a Absatz 1 bis 3 des Strafgesetzbuchs,</w:t>
      </w:r>
    </w:p>
    <w:p>
      <w:r>
        <w:t xml:space="preserve">2. den §§ 6 bis 12 des Völkerstrafgesetzbuchs vom 26. Juni 2002 (BGBl. I S. 2254), das durch Artikel 1 des Gesetzes vom 22. Dezember 2016 (BGBl. I S. 3150) geändert worden ist,</w:t>
      </w:r>
    </w:p>
    <w:p>
      <w:r>
        <w:t xml:space="preserve">3. § 19 Absatz 1 bis 3, § 20 Absatz 1 oder 2, § 20a Absatz 1 bis 3, § 19 Absatz 2 Nummer 2 oder Absatz 3 Nummer 2, § 20 Absatz 1 oder 2, § 20a Absatz 1 bis 3, jeweils auch in Verbindung mit § 21, oder § 22a Absatz 1 bis 3 des Gesetzes über die Kontrolle von Kriegswaffen in der Fassung der Bekanntmachung vom 22. November 1990 (BGBl. I S. 2506), das zuletzt durch Artikel 6 Absatz 2 des Gesetzes vom 13. April 2017 (BGBl. I S. 872) geändert worden ist, und</w:t>
      </w:r>
    </w:p>
    <w:p>
      <w:r>
        <w:t xml:space="preserve">4. § 51 Absatz 1 bis 3 des Waffengesetzes vom 11. Oktober 2002 (BGBl. I S. 3970, 4592; 2003 I S. 1957), das zuletzt durch Artikel 1 des Gesetzes vom 30. Juni 2017 (BGBl. I S. 2133) geändert worden ist,</w:t>
      </w:r>
    </w:p>
    <w:p>
      <w:r>
        <w:t xml:space="preserve">sind terroristische Straftaten im Sinne dieses Gesetzes, wenn und soweit sie dazu bestimmt sind, die Bevölkerung auf erhebliche Weise einzuschüchtern, eine Behörde oder eine internationale Organisation rechtswidrig mit Gewalt oder durch Drohung mit Gewalt zu nötigen oder die politischen, verfassungsrechtlichen, wirtschaftlichen oder sozialen Grundstrukturen eines Staates oder einer internationalen Organisation zu beseitigen oder erheblich zu beeinträchtigen, und sie durch die Art ihrer Begehung oder ihre Auswirkungen einen Staat oder eine internationale Organisation erheblich schädigen können.</w:t>
      </w:r>
    </w:p>
    <w:p>
      <w:r>
        <w:t xml:space="preserve">Zweiter Unterabschnitt</w:t>
      </w:r>
    </w:p>
    <w:p>
      <w:r>
        <w:t xml:space="preserve">Datenverarbeitung</w:t>
      </w:r>
    </w:p>
    <w:p>
      <w:r>
        <w:t xml:space="preserve">Erster Titel</w:t>
      </w:r>
    </w:p>
    <w:p>
      <w:r>
        <w:t xml:space="preserve">Datenerhebung</w:t>
      </w:r>
    </w:p>
    <w:p>
      <w:r>
        <w:t xml:space="preserve">I.</w:t>
      </w:r>
    </w:p>
    <w:p>
      <w:r>
        <w:t xml:space="preserve">Befragung, Auskunftspflicht,</w:t>
      </w:r>
    </w:p>
    <w:p>
      <w:r>
        <w:t xml:space="preserve">allgemeine Regeln der Datenerhebung,</w:t>
      </w:r>
    </w:p>
    <w:p>
      <w:r>
        <w:t xml:space="preserve">Vorladung</w:t>
      </w:r>
    </w:p>
    <w:p>
      <w:r>
        <w:rPr>
          <w:color w:val="555555"/>
          <w:sz w:val="17"/>
        </w:rPr>
        <w:t xml:space="preserve">Zitiervorschlag: § 8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