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67 NW_28315 (Nordrhein-Westfalen) — Entschädigungsansprüche</w:t>
      </w:r>
    </w:p>
    <w:p>
      <w:r>
        <w:rPr>
          <w:color w:val="555555"/>
          <w:sz w:val="18"/>
        </w:rPr>
        <w:t xml:space="preserve">PolG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§§ 39 bis 43 des Ordnungsbehördengesetzes finden entsprechende Anwendung.</w:t>
      </w:r>
    </w:p>
    <w:p>
      <w:r>
        <w:rPr>
          <w:color w:val="555555"/>
          <w:sz w:val="17"/>
        </w:rPr>
        <w:t xml:space="preserve">Zitiervorschlag: § 67 NW_28315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https://recht.nulegal.eu/gesetze/NW_28315/67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67 NW_28315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