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 NW_28315 (Nordrhein-Westfalen) — Besondere Waffen, Sprengmittel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Besondere Waffen im Sinne des § 58 Abs. 5 dürfen gegen Personen nur in den Fällen des § 64 Abs. 1 Nrn. 1, 2 und 5 von der Bundespolizei, die gemäß den Artikeln 35 Abs. 2 Satz 1 oder 91 Abs. 1 des Grundgesetzes zur Unterstützung der Polizei des Landes Nordrhein-Westfalen eingesetzt wird, und nur mit Zustimmung des Innenministers des Landes Nordrhein-Westfalen oder eines von ihm im Einzelfall Beauftragten angewendet werden, wenn</w:t>
      </w:r>
    </w:p>
    <w:p>
      <w:r>
        <w:t xml:space="preserve">1. diese Personen von Schusswaffen oder Explosivmitteln Gebrauch gemacht haben und</w:t>
      </w:r>
    </w:p>
    <w:p>
      <w:r>
        <w:t xml:space="preserve">2. der vorherige Gebrauch anderer Schusswaffen erfolglos geblieben ist.</w:t>
      </w:r>
    </w:p>
    <w:p>
      <w:r>
        <w:t xml:space="preserve">(2) Besondere Waffen dürfen nur gebraucht werden, um einen Angriff abzuwehren. Handgranaten dürfen gegen Personen in einer Menschenmenge nicht gebraucht werden.</w:t>
      </w:r>
    </w:p>
    <w:p>
      <w:r>
        <w:t xml:space="preserve">(3) Im Übrigen bleiben die Vorschriften über den Schusswaffengebrauch unberührt.</w:t>
      </w:r>
    </w:p>
    <w:p>
      <w:r>
        <w:t xml:space="preserve">(4) Sprengmittel dürfen gegen Personen nicht angewendet werden.</w:t>
      </w:r>
    </w:p>
    <w:p>
      <w:r>
        <w:t xml:space="preserve">Fünfter Abschnitt</w:t>
      </w:r>
    </w:p>
    <w:p>
      <w:r>
        <w:t xml:space="preserve">Entschädigungsansprüche, Berichtspflichten</w:t>
      </w:r>
    </w:p>
    <w:p>
      <w:r>
        <w:t xml:space="preserve">gegenüber dem Landtag</w:t>
      </w:r>
    </w:p>
    <w:p>
      <w:r>
        <w:rPr>
          <w:color w:val="555555"/>
          <w:sz w:val="17"/>
        </w:rPr>
        <w:t xml:space="preserve">Zitiervorschlag: § 66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 NW_28315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