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NW_28315 (Nordrhein-Westfalen) — Zwangsgeld</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Zwangsgeld wird auf mindestens fünf und höchstens zweitausendfünfhundert Euro schriftlich festgesetzt.</w:t>
      </w:r>
    </w:p>
    <w:p>
      <w:r>
        <w:t xml:space="preserve">(2) Mit der Festsetzung des Zwangsgeldes ist der betroffenen Person eine angemessene Frist zur Zahlung einzuräumen.</w:t>
      </w:r>
    </w:p>
    <w:p>
      <w:r>
        <w:t xml:space="preserve">(3) Zahlt die betroffene Person das Zwangsgeld nicht fristgerecht, so wird es im Verwaltungszwangsverfahren beigetrieben. Die Beitreibung unterbleibt, sobald die betroffene Person die gebotene Handlung ausführt oder die zu duldende Maßnahme gestattet. Ein Zwangsgeld ist jedoch beizutreiben, wenn der Duldungs- oder Unterlassungspflicht zuwidergehandelt worden ist, deren Erfüllung durch die Androhung des Zwangsgeldes erreicht werden sollte; sind weitere Zuwiderhandlungen nicht mehr zu befürchten, so kann von der Beitreibung abgesehen werden, wenn diese eine besondere Härte darstellen würde.</w:t>
      </w:r>
    </w:p>
    <w:p>
      <w:r>
        <w:rPr>
          <w:color w:val="555555"/>
          <w:sz w:val="17"/>
        </w:rPr>
        <w:t xml:space="preserve">Zitiervorschlag: § 53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