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48 NW_28315 (Nordrhein-Westfalen) — Verfahren</w:t>
      </w:r>
    </w:p>
    <w:p>
      <w:r>
        <w:rPr>
          <w:color w:val="555555"/>
          <w:sz w:val="18"/>
        </w:rPr>
        <w:t xml:space="preserve">PolG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Vollzugshilfeersuchen sind schriftlich zu stellen; sie haben den Grund und die Rechtsgrundlage der Maßnahme anzugeben.</w:t>
      </w:r>
    </w:p>
    <w:p>
      <w:r>
        <w:t xml:space="preserve">(2) In Eilfällen kann das Ersuchen formlos gestellt werden. Es ist jedoch auf Verlangen unverzüglich schriftlich zu bestätigen.</w:t>
      </w:r>
    </w:p>
    <w:p>
      <w:r>
        <w:t xml:space="preserve">(3) Die ersuchende Behörde ist von der Ausführung des Ersuchens zu verständigen.</w:t>
      </w:r>
    </w:p>
    <w:p>
      <w:r>
        <w:rPr>
          <w:color w:val="555555"/>
          <w:sz w:val="17"/>
        </w:rPr>
        <w:t xml:space="preserve">Zitiervorschlag: § 48 NW_28315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https://recht.nulegal.eu/gesetze/NW_28315/48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48 NW_28315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