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NW_28315 (Nordrhein-Westfalen) — Aufenthaltsvorgabe und Kontaktverbot</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zur Verhütung von terroristischen Straftaten nach § 8 Absatz 4 einer Person untersagen, sich ohne Erlaubnis der Polizei von ihrem Wohn- oder Aufenthaltsort oder aus einem bestimmten Bereich zu entfernen oder sich an bestimmten Orten aufzuhalten (Aufenthaltsvorgabe), wenn</w:t>
      </w:r>
    </w:p>
    <w:p>
      <w:r>
        <w:t xml:space="preserve">1. bestimmte Tatsachen die Annahme rechtfertigen, dass die betroffene Person innerhalb eines übersehbaren Zeitraums auf eine zumindest ihrer Art nach konkretisierte Weise eine terroristische Straftat nach § 8 Absatz 4 begehen wird oder</w:t>
      </w:r>
    </w:p>
    <w:p>
      <w:r>
        <w:t xml:space="preserve">2. das individuelle Verhalten der betroffenen Person die konkrete Wahrscheinlichkeit begründet, dass sie innerhalb eines übersehbaren Zeitraums eine terroristische Straftat nach § 8 Absatz 4 begehen wird.</w:t>
      </w:r>
    </w:p>
    <w:p>
      <w:r>
        <w:t xml:space="preserve">Unter den Voraussetzungen des Satzes 1 kann die Polizei zur Verhütung von Straftaten nach § 8 Absatz 4 einer Person auch den Kontakt mit bestimmten Personen oder Personen einer bestimmten Gruppe untersagen (Kontaktverbot). Die Befugnisse nach Satz 1 und 2 stehen der Polizei auch zur Abwehr einer Gefahr für Leib, Leben oder Freiheit einer Person oder für den Bestand oder die Sicherheit des Bundes oder des Landes zu.</w:t>
      </w:r>
    </w:p>
    <w:p>
      <w:r>
        <w:t xml:space="preserve">(2) Maßnahmen nach Absatz 1 werden auf Antrag der Behördenleitung oder deren Vertretung durch das Amtsgericht angeordnet, in dessen Bezirk die Polizeibehörde ihren Sitz hat. Für das Verfahren gelten die Vorschriften des 7. Buches des Gesetzes über das Verfahren in Familiensachen und in den Angelegenheiten der freiwilligen Gerichtsbarkeit entsprechend. Bei Gefahr im Verzug kann die Anordnung durch die zuständige Behördenleiterin oder den Behördenleiter oder deren Vertretung getroffen werden. ln diesem Fall ist die gerichtliche Entscheidung unverzüglich nachzuholen. Soweit die Anordnung nicht binnen drei Tagen durch das Gericht bestätigt wird, tritt sie außer Kraft.</w:t>
      </w:r>
    </w:p>
    <w:p>
      <w:r>
        <w:t xml:space="preserve">(3) Im Antrag sind anzugeben</w:t>
      </w:r>
    </w:p>
    <w:p>
      <w:r>
        <w:t xml:space="preserve">1. die Person, gegen die sich die Maßnahme richtet, mit Name und Anschrift,</w:t>
      </w:r>
    </w:p>
    <w:p>
      <w:r>
        <w:t xml:space="preserve">2. Art, Umfang und Dauer der Maßnahme, einschließlich</w:t>
      </w:r>
    </w:p>
    <w:p>
      <w:r>
        <w:t xml:space="preserve">a) im Fall des Aufenthaltsgebots nach Absatz 1 Satz 1 Alternative 1 einer Bezeichnung der Orte, von denen sich die Person ohne Erlaubnis der zuständigen Polizeibehörde nicht entfernen oder im Fall des Aufenthaltsverbots nach Absatz 1 Satz 1 Alternative 2, an denen sich die Person ohne Erlaubnis der zuständigen Polizeibehörde nicht aufhalten darf,</w:t>
      </w:r>
    </w:p>
    <w:p>
      <w:r>
        <w:t xml:space="preserve">b) im Fall des Kontaktverbots nach Absatz 1 Satz 2 der Personen oder Gruppe, mit denen oder mit welcher der betroffenen Person der Kontakt untersagt ist, soweit möglich, mit Name und Anschrift,</w:t>
      </w:r>
    </w:p>
    <w:p>
      <w:r>
        <w:t xml:space="preserve">3. der Sachverhalt und</w:t>
      </w:r>
    </w:p>
    <w:p>
      <w:r>
        <w:t xml:space="preserve">4 eine Begründung.</w:t>
      </w:r>
    </w:p>
    <w:p>
      <w:r>
        <w:t xml:space="preserve">(4) Die Anordnung ergeht schriftlich. In ihr sind anzugeben</w:t>
      </w:r>
    </w:p>
    <w:p>
      <w:r>
        <w:t xml:space="preserve">1. die Person, gegen die sich die Maßnahme richtet, mit Name und Anschrift,</w:t>
      </w:r>
    </w:p>
    <w:p>
      <w:r>
        <w:t xml:space="preserve">2. Art, Umfang und Dauer der Maßnahme, einschließlich</w:t>
      </w:r>
    </w:p>
    <w:p>
      <w:r>
        <w:t xml:space="preserve">a) im Fall der Aufenthaltsanordnung nach Absatz 1 Satz 1 einer Bezeichnung der Orte, von denen sich die Person ohne Erlaubnis der zuständigen Polizeibehörde nicht entfernen oder an denen sich die Person ohne Erlaubnis der zuständigen Polizeibehörde nicht aufhalten darf,</w:t>
      </w:r>
    </w:p>
    <w:p>
      <w:r>
        <w:t xml:space="preserve">b) im Fall des Kontaktverbots nach Absatz 1 Satz 2 der Personen oder Gruppe, mit denen oder mit welcher der betroffenen Person der Kontakt untersagt ist, soweit möglich, mit Name und Anschrift und</w:t>
      </w:r>
    </w:p>
    <w:p>
      <w:r>
        <w:t xml:space="preserve">3. die wesentlichen Gründe.</w:t>
      </w:r>
    </w:p>
    <w:p>
      <w:r>
        <w:t xml:space="preserve">(5) Aufenthaltsanordnungen sowie Kontaktverbote sind auf den zur Abwehr der Gefahr jeweils erforderlichen Umfang zu beschränken. Sie sind auf höchstens drei Monate zu befristen. Eine Verlängerung um jeweils nicht mehr als drei Monate ist möglich, soweit ihre Voraussetzungen fortbestehen. Liegen die Voraussetzungen nicht mehr vor, ist die Maßnahme unverzüglich zu beenden.</w:t>
      </w:r>
    </w:p>
    <w:p>
      <w:r>
        <w:rPr>
          <w:color w:val="555555"/>
          <w:sz w:val="17"/>
        </w:rPr>
        <w:t xml:space="preserve">Zitiervorschlag: § 34b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https://recht.nulegal.eu/gesetze/NW_28315/34b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