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22a NW_28315 (Nordrhein-Westfalen) — Verarbeitung besonderer Kategorien personenbezogener Daten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Verarbeitung von Daten im Sinne des § 36 Nummer 18 des Datenschutzgesetzes Nordrhein-Westfalen ist nur zulässig, wenn dies zur polizeilichen Aufgabenerfüllung gemäß dieses Gesetzes oder einer anderen Rechtsvorschrift unbedingt erforderlich ist.</w:t>
      </w:r>
    </w:p>
    <w:p>
      <w:r>
        <w:t xml:space="preserve">(2) Die an Verarbeitungsvorgängen im Sinne des Absatz 1 Beteiligten sind für die besondere Schutzwürdigkeit dieser Daten zu sensibilisieren. Der Zugang zu den personenbezogenen Daten ist zu beschränken. Das gilt auch für Auftragsverarbeiter im Sinne des § 36 Nummer 10 des Datenschutzgesetzes Nordrhein-Westfalen. Durch geeignete technische und organisatorische Maßnahmen ist sicherzustellen, dass nachträglich überprüft werden kann, ob und von wem personenbezogene Daten im Sinne des Absatz 1 eingegeben, verändert oder entfernt worden sind.</w:t>
      </w:r>
    </w:p>
    <w:p>
      <w:r>
        <w:rPr>
          <w:color w:val="555555"/>
          <w:sz w:val="17"/>
        </w:rPr>
        <w:t xml:space="preserve">Zitiervorschlag: § 22a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https://recht.nulegal.eu/gesetze/NW_28315/22a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