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NW_28315 (Nordrhein-Westfalen) — Datenspeicherung, Prüfungstermine</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rechtmäßig erlangte personenbezogene Daten in Akten und Dateisystemen speichern, soweit dies zur Erfüllung ihrer Aufgaben, zu einer zeitlich befristeten Dokumentation oder zur Vorgangsverwaltung erforderlich ist.</w:t>
      </w:r>
    </w:p>
    <w:p>
      <w:r>
        <w:t xml:space="preserve">(2) Die Dauer der Speicherung ist auf das erforderliche Maß zu beschränken. Für automatisierte Dateisysteme sind Termine festzulegen, zu denen spätestens überprüft werden muss, ob die suchfähige Speicherung von Daten weiterhin erforderlich ist (Prüfungstermine). Für nichtautomatisierte Dateisysteme und Akten sind Prüfungstermine oder Aufbewahrungsfristen festzulegen. Dabei sind der Speicherungszweck sowie Art und Bedeutung des Anlasses der Speicherung zu berücksichtigen. Die festzulegenden Prüfungstermine dürfen bei Erwachsenen zehn Jahre und bei Jugendlichen fünf Jahre nicht überschreiten. Die Frist beginnt regelmäßig mit dem Ende des Jahres, in dem das letzte Ereignis erfasst worden ist, das zur Speicherung der Daten geführt hat, jedoch nicht vor Entlassung des Betroffenen aus einer Justizvollzugsanstalt oder der Beendigung einer mit Freiheitsentziehung verbundenen Maßregel der Besserung und Sicherung. Werden innerhalb der in Satz 2 und 3 genannten Frist weitere personenbezogene Daten über dieselbe Person gespeichert, so gilt für alle Speicherungen gemeinsam der Prüftermin, der als letzter eintritt, oder die Aufbewahrungsfrist, die als letzte endet. Die Beachtung der Prüfungstermine und Aufbewahrungsfristen ist durch geeignete technische und organisatorische Maßnahmen zu gewährleisten.</w:t>
      </w:r>
    </w:p>
    <w:p>
      <w:r>
        <w:t xml:space="preserve">(3) Wird die betroffene Person rechtskräftig freigesprochen, die Eröffnung des Hauptverfahrens gegen sie unanfechtbar abgelehnt oder das Verfahren nicht nur vorläufig eingestellt, so ist die Speicherung unzulässig, wenn sich aus Gründen der Entscheidung ergibt, dass die betroffene Person die Tat nicht oder nicht rechtswidrig begangen hat. Die weitere Speicherung ist nur zulässig, wenn tatsächliche Anhaltspunkte die hinreichende Wahrscheinlichkeit begründen, dass die betroffene Person eine strafrechtlich relevante Verbindung zu möglichen Straftaten aufweisen wird und gerade die gespeicherten Daten zu deren Verhütung angemessen beitragen können. Die nach Satz 2 erfolgte Prognose ist zu dokumentieren.</w:t>
      </w:r>
    </w:p>
    <w:p>
      <w:r>
        <w:t xml:space="preserve">(4) Prüfungstermine oder Aufbewahrungsfristen für die in Dateisystemen oder Akten suchfähig gespeicherten personenbezogenen Daten von Kindern dürfen zwei Jahre nicht überschreiten. Die Frist beginnt mit dem Tag der ersten Speicherung.</w:t>
      </w:r>
    </w:p>
    <w:p>
      <w:r>
        <w:t xml:space="preserve">(5) Über Kontakt- oder Begleitpersonen einer Person, bei der Tatsachen die Annahme rechtfertigen, dass sie künftig Straftaten begehen wird, sowie über Auskunftspersonen kann die Polizei personenbezogene Daten suchfähig in Dateien speichern, verändern und nutzen, soweit dies zur vorbeugenden Bekämpfung von Straftaten von erheblicher Bedeutung erforderlich ist; soweit für die Datenerhebung strengere Voraussetzungen gelten, sind diese auch für die Speicherung, Veränderung und Nutzung maßgeblich. Die festzulegenden Prüftermine bei der Speicherung von Kontakt- und Begleitpersonen dürfen die Dauer eines Jahres nicht überschreiten. Die Verlängerung für jeweils ein weiteres Jahr ist zulässig, soweit die Voraussetzungen des Satzes 1 weiterhin vorliegen, jedoch darf die Speicherungsdauer insgesamt drei Jahre nicht überschreiten. Die Entscheidung über die jeweilige Verlängerung trifft die Behördenleiterin oder der Behördenleiter oder ein von ihr oder ihm beauftragter Beamter.</w:t>
      </w:r>
    </w:p>
    <w:p>
      <w:r>
        <w:t xml:space="preserve">(6) Werden wertende Angaben über eine Person in Dateien gespeichert, muss feststellbar sein, bei welcher Stelle die den Angaben zugrunde liegenden Informationen vorhanden sind. Wertende Angaben dürfen nicht allein auf Informationen gestützt werden, die unmittelbar durch automatisierte Datenverarbeitung gewonnen wurden.</w:t>
      </w:r>
    </w:p>
    <w:p>
      <w:r>
        <w:rPr>
          <w:color w:val="555555"/>
          <w:sz w:val="17"/>
        </w:rPr>
        <w:t xml:space="preserve">Zitiervorschlag: § 22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