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NW_28315 (Nordrhein-Westfalen) — Polizeiliche Beobachtung</w:t>
      </w:r>
    </w:p>
    <w:p>
      <w:r>
        <w:rPr>
          <w:color w:val="555555"/>
          <w:sz w:val="18"/>
        </w:rPr>
        <w:t xml:space="preserve">PolG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Polizei kann personenbezogene Daten, insbesondere die Personalien einer Person sowie Kennzeichen des von ihr benutzten oder eingesetzten Kraftfahrzeuges, zur Polizeilichen Beobachtung in einer Datei speichern (Ausschreibung zur Polizeilichen Beobachtung), wenn bestimmte Tatsachen, auch unter Berücksichtigung der Gesamtwürdigung der Person und der von ihr bisher begangenen Straftaten, die Annahme rechtfertigen, dass sie künftig besonders schwere Straftaten, die die von ihren jeweiligen Tatbeständen geschützten Rechtsgüter unmittelbar beeinträchtigen, begehen wird, und dies zur vorbeugenden Bekämpfung dieser Straftaten erforderlich ist.</w:t>
      </w:r>
    </w:p>
    <w:p>
      <w:r>
        <w:t xml:space="preserve">(2) Im Falle eines Antreffens der Person oder des von ihr benutzten oder eingesetzten Kraftfahrzeuges können Erkenntnisse über das Antreffen sowie über Kontakt- und Begleitpersonen und mitgeführte Sachen an die ausschreibende Polizeibehörde übermittelt werden.</w:t>
      </w:r>
    </w:p>
    <w:p>
      <w:r>
        <w:t xml:space="preserve">(3) Die Ausschreibung zur Polizeilichen Beobachtung darf nur durch den Richter angeordnet werden. Zuständig ist das Amtsgericht, in dessen Bezirk die Polizeibehörde ihren Sitz hat. § 16a Absatz 2 Satz 6 und 7 gilt entsprechend. Die Anordnung ist auf höchstens ein Jahr zu befristen. Eine Verlängerung um nicht mehr als jeweils ein Jahr ist zulässig, soweit die Voraussetzungen des Absatzes 1 weiterhin vorliegen. Spätestens nach Ablauf von jeweils sechs Monaten ist von der ausschreibenden Polizeibehörde zu prüfen, ob die Voraussetzungen für die Anordnung noch bestehen. Das Ergebnis dieser Prüfung ist aktenkundig zu machen.</w:t>
      </w:r>
    </w:p>
    <w:p>
      <w:r>
        <w:t xml:space="preserve">Zweiter Titel</w:t>
      </w:r>
    </w:p>
    <w:p>
      <w:r>
        <w:t xml:space="preserve">Weiterverarbeitung von personenbezogenen Daten</w:t>
      </w:r>
    </w:p>
    <w:p>
      <w:r>
        <w:rPr>
          <w:color w:val="555555"/>
          <w:sz w:val="17"/>
        </w:rPr>
        <w:t xml:space="preserve">Zitiervorschlag: § 21 NW_28315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https://recht.nulegal.eu/gesetze/NW_28315/21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