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20a NW_28315 (Nordrhein-Westfalen) — Abfrage von Telekommunikations- und Telemediendaten</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Polizei kann soweit erforderlich von jedem, der geschäftsmäßig Telekommunikationsdienste oder Telemediendienste erbringt oder daran mitwirkt (Diensteanbieter), Auskunft verlangen über</w:t>
      </w:r>
    </w:p>
    <w:p>
      <w:r>
        <w:t xml:space="preserve">1. Bestandsdaten im Sinne der § 3 Nummer 6, § 172 des Telekommunikationsgesetzes vom 23. Juni 2021 (BGBl. I S. 1858) in der jeweils geltenden Fassung und § 2 Absatz 2 Nummer 2 des Telekommunikation-Telemedien-Datenschutz-Gesetzes vom 23. Juni 2021 (BGBl. I S. 1982) in der jeweils geltenden Fassung; die Auskunft darf auch anhand einer zu bestimmten Zeitpunkten zugewiesenen Internetprotokoll-Adresse verlangt werden (§ 174 Absatz 1 Satz 3 des Telekommunikationsgesetzes, § 22 Absatz 1 Satz 3 des Telekommunikation-Telemedien-Datenschutz-Gesetzes),</w:t>
      </w:r>
    </w:p>
    <w:p>
      <w:r>
        <w:t xml:space="preserve">2. folgende Verkehrsdaten im Sinne des § 176 des Telekommunikationsgesetzes:</w:t>
      </w:r>
    </w:p>
    <w:p>
      <w:r>
        <w:t xml:space="preserve">a) die Nummer oder Kennung der beteiligten Anschlüsse oder der Endeinrichtungen, personenbezogene Berechtigungskennungen, bei Verwendung von Kundenkarten auch die Kartennummer, bei mobilen Telekommunikationsendgeräten auch die Standortdaten,</w:t>
      </w:r>
    </w:p>
    <w:p>
      <w:r>
        <w:t xml:space="preserve">b) den Beginn und das Ende der jeweiligen Verbindung nach Datum und Uhrzeit,</w:t>
      </w:r>
    </w:p>
    <w:p>
      <w:r>
        <w:t xml:space="preserve">3. folgende Nutzungsdaten im Sinne des § 2 Absatz 2 Nummer 3 des Telekommunikation-Telemedien-Datenschutz-Gesetzes:</w:t>
      </w:r>
    </w:p>
    <w:p>
      <w:r>
        <w:t xml:space="preserve">a) Merkmale zur Identifikation der Nutzerin oder des Nutzers,</w:t>
      </w:r>
    </w:p>
    <w:p>
      <w:r>
        <w:t xml:space="preserve">b) Angaben über den Beginn und das Ende sowie den Umfang der jeweiligen Nutzung nach Datum und Uhrzeit.</w:t>
      </w:r>
    </w:p>
    <w:p>
      <w:r>
        <w:t xml:space="preserve">Die Maßnahmen nach Satz 1 sind nur zulässig</w:t>
      </w:r>
    </w:p>
    <w:p>
      <w:r>
        <w:t xml:space="preserve">1. unter den Voraussetzungen des § 20c Absatz 1,</w:t>
      </w:r>
    </w:p>
    <w:p>
      <w:r>
        <w:t xml:space="preserve">2. zur Abwehr einer gemeinen Gefahr oder</w:t>
      </w:r>
    </w:p>
    <w:p>
      <w:r>
        <w:t xml:space="preserve">3. zur Ermittlung des Aufenthaltsortes einer vermissten, suizidgefährdeten oder hilflosen Person</w:t>
      </w:r>
    </w:p>
    <w:p>
      <w:r>
        <w:t xml:space="preserve">und nur, soweit die Erreichung des Zwecks der Maßnahme auf andere Weise aussichtslos oder wesentlich erschwert wäre. Die Daten sind der Polizei unverzüglich zu übermitteln. Dritten dürfen die Daten nur mit Zustimmung der betroffenen Person zugänglich gemacht werden.</w:t>
      </w:r>
    </w:p>
    <w:p>
      <w:r>
        <w:t xml:space="preserve">(2) Bei Maßnahmen nach Absatz 1 dürfen personenbezogene Daten Dritter nur erhoben werden, wenn dies aus technischen Gründen unvermeidbar ist. Sämtliche nach Absatz 1 erhobene personenbezogene Daten Dritter sind nach Beendigung der Maßnahme unverzüglich zu löschen.</w:t>
      </w:r>
    </w:p>
    <w:p>
      <w:r>
        <w:t xml:space="preserve">(3) Maßnahmen nach Absatz 1 bedürfen der Anordnung durch das Amtsgericht, in dessen Bezirk die Polizeibehörde ihren Sitz hat. § 16a Absatz 2 Satz 2 bis 7 gilt entsprechend. In der Anordnung sind anzugeben</w:t>
      </w:r>
    </w:p>
    <w:p>
      <w:r>
        <w:t xml:space="preserve">1. die tragenden Erkenntnisse für das Vorliegen der Gefahr nach Absatz 1 und die Begründung der Verhältnismäßigkeit der Maßnahme,</w:t>
      </w:r>
    </w:p>
    <w:p>
      <w:r>
        <w:t xml:space="preserve">2. die Art der Maßnahme sowie, soweit vorhanden,</w:t>
      </w:r>
    </w:p>
    <w:p>
      <w:r>
        <w:t xml:space="preserve">3. der Name und die Anschrift der Betroffenen, gegen die sich die Maßnahme richtet und</w:t>
      </w:r>
    </w:p>
    <w:p>
      <w:r>
        <w:t xml:space="preserve">4. eine Kennung des Telekommunikationsanschlusses oder Endgerätes.</w:t>
      </w:r>
    </w:p>
    <w:p>
      <w:r>
        <w:t xml:space="preserve">Abweichend von Satz 1 darf eine Maßnahme nach Absatz 1 Satz 2 Nummer 3 durch die Behördenleitung oder deren Vertretung angeordnet werden.</w:t>
      </w:r>
    </w:p>
    <w:p>
      <w:r>
        <w:t xml:space="preserve">(4) Die in Anspruch genommenen Diensteanbieter werden entsprechend § 23 des Justizvergütungs- und -entschädigungsgesetzes vom 5. Mai 2004 (BGBl. I S. 718, 776), zuletzt geändert durch Artikel 13 des Gesetzes vom 5. Dezember 2012 (BGBl. I S. 2418), entschädigt.</w:t>
      </w:r>
    </w:p>
    <w:p>
      <w:r>
        <w:rPr>
          <w:color w:val="555555"/>
          <w:sz w:val="17"/>
        </w:rPr>
        <w:t xml:space="preserve">Zitiervorschlag: § 20a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https://recht.nulegal.eu/gesetze/NW_28315/20a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