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NW_28315 (Nordrhein-Westfalen) — Datenerhebung durch den Einsatz von Personen, deren Zusammenarbeit mit der PolizeiDritten nicht bekannt ist</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Polizei kann personenbezogene Daten erheben durch den Einsatz von Personen, deren Zusammenarbeit mit der Polizei Dritten nicht bekannt ist,</w:t>
      </w:r>
    </w:p>
    <w:p>
      <w:r>
        <w:t xml:space="preserve">1. über die in den §§ 4 und 5 genannten und unter den Voraussetzungen des § 6 über die dort genannten Personen, wenn dies zur Abwehr einer gegenwärtigen Gefahr für den Bestand oder die Sicherheit des Bundes oder eines Landes oder für Leib, Leben oder Freiheit einer Person erforderlich ist,</w:t>
      </w:r>
    </w:p>
    <w:p>
      <w:r>
        <w:t xml:space="preserve">2. über Personen,</w:t>
      </w:r>
    </w:p>
    <w:p>
      <w:r>
        <w:t xml:space="preserve">a) soweit bestimmte Tatsachen die Annahme rechtfertigen, dass diese Personen in absehbarer Zeit eine bereits ihrer Art nach konkretisierte besonders schwere Straftat, die die nach ihrem Tatbestand geschützten Rechtsgüter unmittelbar beeinträchtigt, begehen werden, oder</w:t>
      </w:r>
    </w:p>
    <w:p>
      <w:r>
        <w:t xml:space="preserve">b) deren individuelles Verhalten die Begehung einer terroristischen Straftat in überschaubarer Zukunft wahrscheinlich macht,</w:t>
      </w:r>
    </w:p>
    <w:p>
      <w:r>
        <w:t xml:space="preserve">sowie über deren Kontakt- oder Begleitpersonen, wenn die Datenerhebung zur vorbeugenden Bekämpfung dieser Straftaten erforderlich ist.</w:t>
      </w:r>
    </w:p>
    <w:p>
      <w:r>
        <w:t xml:space="preserve">§ 16a Absatz 1 Satz 2 bis 5 sowie § 17 Absatz 4 gelten entsprechend.</w:t>
      </w:r>
    </w:p>
    <w:p>
      <w:r>
        <w:t xml:space="preserve">(2) Der Einsatz von Personen, deren Zusammenarbeit mit der Polizei Dritten nicht bekannt ist, bedarf der Anordnung durch das Amtsgericht, in dessen Bezirk die Polizeibehörde ihren Sitz hat. Die Anordnung bedarf der Schriftform und ist auf höchstens sechs Monate zu befristen. Eine Verlängerung um jeweils nicht mehr als sechs weitere Monate ist zulässig, soweit die Voraussetzungen der Anordnung unter Berücksichtigung der gewonnenen Erkenntnisse fortbestehen. § 16a Absatz 2 Satz 5 bis 7 gilt entsprechend.</w:t>
      </w:r>
    </w:p>
    <w:p>
      <w:r>
        <w:rPr>
          <w:color w:val="555555"/>
          <w:sz w:val="17"/>
        </w:rPr>
        <w:t xml:space="preserve">Zitiervorschlag: § 19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