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NW_28315 (Nordrhein-Westfalen) — Datenerhebung durch den verdeckten Einsatz technischer Mittel in oder aus Wohnungen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personenbezogene Daten in oder aus Wohnungen (§ 41 Absatz 1 Satz 2) durch den verdeckten Einsatz technischer Mittel gemäß § 17 Absatz 1 über Personen, die in den §§ 4 und 5 genannt werden, sowie unter den Voraussetzungen des § 6 über die dort genannten Personen erheben, wenn dies zur Abwehr einer gegenwärtigen Gefahr für Leib, Leben oder Freiheit einer Person erforderlich ist und diese auf andere Weise nicht abgewendet werden kann. Dabei dürfen auch personenbezogene Daten über andere Personen erhoben werden, soweit dies erforderlich ist, um eine Datenerhebung nach Satz 1 durchführen zu können. § 16a Absatz 1 Satz 3 bis 5 gilt entsprechend. Eine ausschließlich automatisierte Datenerhebung ist unzulässig.</w:t>
      </w:r>
    </w:p>
    <w:p>
      <w:r>
        <w:t xml:space="preserve">(2) Die Datenerhebung nach Absatz 1 bedarf der Anordnung durch die in § 74a Absatz 4 des Gerichtsverfassungsgesetzes genannte Kammer des Landgerichts, in dessen Bezirk die Polizeibehörde ihren Sitz hat. Sie bedarf der Schriftform und ist auf höchstens einen Monat zu befristen. Sie muss, soweit bekannt, Name und Anschrift der Person, gegen die sich die Datenerhebung richtet, Art und Umfang der zu erhebenden Daten sowie die betroffenen Wohnungen bezeichnen und ist zu begründen. Soweit die Voraussetzungen der Anordnung fortbestehen, sind auf Antrag Verlängerungen um jeweils einen weiteren Monat zulässig. Bei Gefahr im Verzug kann die Maßnahme durch die Behördenleiterin oder den Behördenleiter angeordnet werden. Die richterliche Bestätigung ist unverzüglich zu beantragen. Die Anordnung nach Satz 6 tritt spätestens mit Ablauf des dritten Tages nach ihrem Erlass außer Kraft, wenn sie bis dahin nicht richterlich bestätigt wird. Erfolgt keine richterliche Bestätigung, dürfen bereits erhobene Daten nicht verwendet werden. Die Daten sind unverzüglich zu löschen.</w:t>
      </w:r>
    </w:p>
    <w:p>
      <w:r>
        <w:t xml:space="preserve">(3) Die Maßnahme darf nur angeordnet werden, soweit auf Grund tatsächlicher Anhaltspunkte anzunehmen ist, dass durch die Erhebung Daten, die dem Kernbereich privater Lebensgestaltung zuzurechnen sind, nicht erfasst werden. Dabei ist insbesondere auf die Art der zu überwachenden Räumlichkeiten und das Verhältnis der dort anwesenden Personen zueinander abzustellen. Der Kernbereich umfasst auch das durch Berufsgeheimnis geschützte Vertrauensverhältnis der in §§ 53 und 53a der Strafprozessordnung genannten Berufsgeheimnisträger. Gespräche in Betriebs- und Geschäftsräumen sind, soweit sie nicht zur Berufsausübung bestimmte Räume von Berufsgeheimnisträgern gemäß §§ 53 und 53a der Strafprozessordnung sind, in der Regel nicht dem Kernbereich privater Lebensgestaltung zuzurechnen.</w:t>
      </w:r>
    </w:p>
    <w:p>
      <w:r>
        <w:t xml:space="preserve">(4) Die Datenerhebung ist unverzüglich zu unterbrechen, sofern sich während der Überwachung tatsächliche Anhaltspunkte dafür ergeben, dass Daten, die dem Kernbereich privater Lebensgestaltung zuzurechnen sind, erfasst werden. Bestehen insoweit Zweifel, darf statt der unmittelbaren Wahrnehmung nur noch eine automatisierte Aufzeichnung erfolgen. Nach einer Unterbrechung oder einer Aufzeichnung gemäß Satz 2 darf die Erhebung fortgesetzt werden, wenn zu erwarten ist, dass die Gründe, die zur Unterbrechung oder zur Aufzeichnung geführt haben, nicht mehr vorliegen. Die automatisierte Aufzeichnung ist unverzüglich dem anordnenden Gericht zur Entscheidung über die Verwertbarkeit und Löschung der Daten vorzulegen. Für die nicht verwertbaren Teile ordnet das Gericht die unverzügliche Löschung an. Das Gericht unterrichtet die Polizeibehörde unverzüglich über den Inhalt der verwertbaren Teile der Aufzeichnung. Die Tatsachen der Datenerfassung und der Löschung sind zu dokumentieren. Die Maßnahme ist abzubrechen, wenn die Voraussetzungen des Absatzes 1 nicht mehr vorliegen.</w:t>
      </w:r>
    </w:p>
    <w:p>
      <w:r>
        <w:t xml:space="preserve">(5) Werden technische Mittel ausschließlich zum Schutz der bei einem polizeilichen Einsatz in Wohnungen tätigen Personen verwendet, kann die Datenerhebung nach Absatz 1 durch die Behördenleiterin oder den Behördenleiter angeordnet werden. Eine anderweitige Verwertung der gemäß Satz 1 erlangten Erkenntnisse ist nur zum Zwecke der Strafverfolgung oder der Gefahrenabwehr und nur zulässig, wenn zuvor die Rechtmäßigkeit der Maßnahme richterlich festgestellt ist; bei Gefahr im Verzug ist die richterliche Entscheidung unverzüglich nachzuholen. Aufzeichnungen, die nicht im Sinne des Satzes 2 verwendet werden, sind unverzüglich nach Beendigung des Einsatzes zu löschen. § 24 Absatz 3 sowie § 32 Absatz 3 Nummer 1 und 2 bleiben unberührt.</w:t>
      </w:r>
    </w:p>
    <w:p>
      <w:r>
        <w:t xml:space="preserve">(6) § 17 Absatz 4 gilt entsprechend.</w:t>
      </w:r>
    </w:p>
    <w:p>
      <w:r>
        <w:rPr>
          <w:color w:val="555555"/>
          <w:sz w:val="17"/>
        </w:rPr>
        <w:t xml:space="preserve">Zitiervorschlag: § 18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