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12a NW_28315 (Nordrhein-Westfalen) — Polizeiliche Anhalte- und Sichtkontrollen (strategische Fahndung)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darf im öffentlichen Verkehrsraum</w:t>
      </w:r>
    </w:p>
    <w:p>
      <w:r>
        <w:t xml:space="preserve">1. zur Verhütung von Straftaten von erheblicher Bedeutung im Sinne des § 8 Absatz 3 und zur Verhütung von terroristischen Straftaten nach § 8 Absatz 4,</w:t>
      </w:r>
    </w:p>
    <w:p>
      <w:r>
        <w:t xml:space="preserve">2. zur Verhütung gewerbs- oder bandenmäßig begangener grenzüberschreitender Kriminalität oder</w:t>
      </w:r>
    </w:p>
    <w:p>
      <w:r>
        <w:t xml:space="preserve">3. zur Unterbindung des unerlaubten Aufenthalts</w:t>
      </w:r>
    </w:p>
    <w:p>
      <w:r>
        <w:t xml:space="preserve">Personen anhalten und befragen sowie die zur Feststellung der Identität erforderlichen Maßnahmen nach § 12 Absatz 2 treffen. Fahrzeuge und mitgeführte Sachen dürfen in Augenschein genommen werden. Die Polizei darf verlangen, dass mitgeführte Sachen sowie Fahrzeuge einschließlich an und in ihnen befindlicher Räume und Behältnisse geöffnet werden; im Übrigen ist die Durchsuchung von Personen, mitgeführten Sachen und Fahrzeugen unter den Voraussetzungen der §§ 39 und 40 zulässig. Die Maßnahme ist nur zulässig, wenn Tatsachen die Annahme rechtfertigen, dass in diesem Gebiet Straftaten der in Satz 1 bezeichneten Art begangen werden sollen und die Maßnahme zur Verhütung dieser Straftaten erforderlich und verhältnismäßig im Sinne von § 2 ist.</w:t>
      </w:r>
    </w:p>
    <w:p>
      <w:r>
        <w:t xml:space="preserve">(2) Die Maßnahme ist schriftlich zu beantragen und bedarf der schriftlichen Anordnung durch die Behördenleitung oder deren Vertretung. Umfasst das festgelegte Gebiet die Zuständigkeit mehrerer Behörden, so trifft die Anordnung das Landesamt für Zentrale Polizeiliche Dienste. Die Anordnung ist zeitlich und örtlich auf den in Absatz 1 genannten Zweck zu beschränken. Sie darf die Dauer von 28 Tagen nicht überschreiten. Eine Verlängerung um jeweils bis zu weiteren 28 Tagen ist zulässig, soweit die Voraussetzungen für eine Anordnung weiterhin vorliegen. In der Anordnung sind</w:t>
      </w:r>
    </w:p>
    <w:p>
      <w:r>
        <w:t xml:space="preserve">1. die tragenden Erkenntnisse für das Vorliegen der Voraussetzungen nach Absatz 1 Satz 1,</w:t>
      </w:r>
    </w:p>
    <w:p>
      <w:r>
        <w:t xml:space="preserve">2. die Art der Maßnahme einschließlich zeitlicher und örtlicher Beschränkung und</w:t>
      </w:r>
    </w:p>
    <w:p>
      <w:r>
        <w:t xml:space="preserve">3. die Begründung der Verhältnismäßigkeit der Maßnahme nach Absatz 1 Satz 4</w:t>
      </w:r>
    </w:p>
    <w:p>
      <w:r>
        <w:t xml:space="preserve">anzugeben.</w:t>
      </w:r>
    </w:p>
    <w:p>
      <w:r>
        <w:rPr>
          <w:color w:val="555555"/>
          <w:sz w:val="17"/>
        </w:rPr>
        <w:t xml:space="preserve">Zitiervorschlag: § 12a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https://recht.nulegal.eu/gesetze/NW_28315/12a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