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NW_28315 (Nordrhein-Westfalen) — Vorladung</w:t>
      </w:r>
    </w:p>
    <w:p>
      <w:r>
        <w:rPr>
          <w:color w:val="555555"/>
          <w:sz w:val="18"/>
        </w:rPr>
        <w:t xml:space="preserve">PolG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Polizei kann eine Person schriftlich oder mündlich vorladen, wenn</w:t>
      </w:r>
    </w:p>
    <w:p>
      <w:r>
        <w:t xml:space="preserve">1. Tatsachen die Annahme rechtfertigen, dass die Person sachdienliche Angaben machen kann, die für die Erfüllung einer bestimmten polizeilichen Aufgabe erforderlich sind,</w:t>
      </w:r>
    </w:p>
    <w:p>
      <w:r>
        <w:t xml:space="preserve">2. das zur Durchführung erkennungsdienstlicher Maßnahmen erforderlich ist.</w:t>
      </w:r>
    </w:p>
    <w:p>
      <w:r>
        <w:t xml:space="preserve">(2) Bei der Vorladung soll deren Grund angegeben werden. Bei der Festsetzung des Zeitpunkts soll auf den Beruf und die sonstigen Lebensverhältnisse der betroffenen Person Rücksicht genommen werden.</w:t>
      </w:r>
    </w:p>
    <w:p>
      <w:r>
        <w:t xml:space="preserve">(3) Leistet eine betroffene Person der Vorladung ohne hinreichenden Grund keine Folge, so kann sie zwangsweise durchgesetzt werden,</w:t>
      </w:r>
    </w:p>
    <w:p>
      <w:r>
        <w:t xml:space="preserve">1. wenn die Angaben zur Abwehr einer Gefahr für Leib, Leben oder Freiheit einer Person erforderlich sind,</w:t>
      </w:r>
    </w:p>
    <w:p>
      <w:r>
        <w:t xml:space="preserve">2. zur Durchführung erkennungsdienstlicher Maßnahmen.</w:t>
      </w:r>
    </w:p>
    <w:p>
      <w:r>
        <w:t xml:space="preserve">Die zwangsweise Vorführung darf nur auf Grund richterlicher Anordnung erfolgen, es sei denn, dass Gefahr im Verzug vorliegt.</w:t>
      </w:r>
    </w:p>
    <w:p>
      <w:r>
        <w:t xml:space="preserve">(4) § 136a der Strafprozessordnung gilt entsprechend.</w:t>
      </w:r>
    </w:p>
    <w:p>
      <w:r>
        <w:t xml:space="preserve">(5) Für die Entschädigung von Personen, die auf Vorladung als Zeugen erscheinen, und für die Vergütung von Personen, die als Sachverständige herangezogen werden, gilt das Justizvergütungs- und -entschädigungsgesetz entsprechend.</w:t>
      </w:r>
    </w:p>
    <w:p>
      <w:r>
        <w:t xml:space="preserve">II.</w:t>
      </w:r>
    </w:p>
    <w:p>
      <w:r>
        <w:t xml:space="preserve">Datenerhebung in bestimmten Fällen</w:t>
      </w:r>
    </w:p>
    <w:p>
      <w:r>
        <w:rPr>
          <w:color w:val="555555"/>
          <w:sz w:val="17"/>
        </w:rPr>
        <w:t xml:space="preserve">Zitiervorschlag: § 10 NW_28315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https://recht.nulegal.eu/gesetze/NW_28315/10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