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NW_28302 (Nordrhein-Westfalen) — In-Kraft-Treten</w:t>
      </w:r>
    </w:p>
    <w:p>
      <w:r>
        <w:rPr>
          <w:color w:val="555555"/>
          <w:sz w:val="18"/>
        </w:rPr>
        <w:t xml:space="preserve">Vertreterversammlungs-Satzung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mit dem Tag nach ihrer Bekanntmachung im Gesetz- und Verordnungsblatt für das Land Nordrhein-Westfalen in Kraft.</w:t>
      </w:r>
    </w:p>
    <w:p>
      <w:r>
        <w:t xml:space="preserve">Der Direktor</w:t>
      </w:r>
    </w:p>
    <w:p>
      <w:r>
        <w:t xml:space="preserve">der Landesanstalt für Medien (LfM)</w:t>
      </w:r>
    </w:p>
    <w:p>
      <w:r>
        <w:t xml:space="preserve">i.V.</w:t>
      </w:r>
    </w:p>
    <w:p>
      <w:r>
        <w:t xml:space="preserve">Dr. Jürgen B r a u t m e i e r</w:t>
      </w:r>
    </w:p>
    <w:p>
      <w:r>
        <w:rPr>
          <w:color w:val="555555"/>
          <w:sz w:val="17"/>
        </w:rPr>
        <w:t xml:space="preserve">Zitiervorschlag: § 5 NW_28302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https://recht.nulegal.eu/gesetze/NW_28302/5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