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NW_28296 (Nordrhein-Westfalen)</w:t>
      </w:r>
    </w:p>
    <w:p>
      <w:r>
        <w:rPr>
          <w:color w:val="555555"/>
          <w:sz w:val="18"/>
        </w:rPr>
        <w:t xml:space="preserve">Verordnung zur Durchführung des Beschussgesetzes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Dienststelle nach dem Beschussgesetz und nach der Verordnung zum Beschussgesetz ist der Landesbetrieb Mess- und Eichwesen NRW.</w:t>
      </w:r>
    </w:p>
    <w:p>
      <w:r>
        <w:rPr>
          <w:color w:val="555555"/>
          <w:sz w:val="17"/>
        </w:rPr>
        <w:t xml:space="preserve">Zitiervorschlag: § 1 NW_28296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