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NW_28295 (Nordrhein-Westfalen)</w:t>
      </w:r>
    </w:p>
    <w:p>
      <w:r>
        <w:rPr>
          <w:color w:val="555555"/>
          <w:sz w:val="18"/>
        </w:rPr>
        <w:t xml:space="preserve">Verordnung zur Durchführung des Waffengesetzes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April 2003</w:t>
      </w:r>
    </w:p>
    <w:p>
      <w:r>
        <w:t xml:space="preserve">(Artikel 1 der VO zur Durchführung des Gesetzes zur Neuregelung des Waffenrechts (WaffRNeuRegG))</w:t>
      </w:r>
    </w:p>
    <w:p>
      <w:r>
        <w:t xml:space="preserve">Auf Grund der §§ 48 Abs. 1 und 55 Abs. 6 des Waffengesetzes (Artikel 1 des Gesetzes zur Neuregelung des Waffenrechts vom 11. Oktober 2002, [BGBl. I S. 3970]), der §§ 5 Abs. 2, 7 Abs. 4 des Landesorganisationsgesetzes (LOG NRW) vom 10. Juli 1962 (GV. NRW. S. 421), zuletzt geändert durch Gesetz vom 9. Mai 2000 (GV. NRW. S. 462), und des § 36 Abs. 2 Satz 1 des Gesetzes über Ordnungswidrigkeiten (OWiG) in der Fassung der Bekanntmachung vom 19. Februar 1987 (BGBl. I S. 602), zuletzt geändert durch Gesetz vom 26. Juli 2002 (BGBl. I S. 2864), wird verordnet:</w:t>
      </w:r>
    </w:p>
    <w:p>
      <w:r>
        <w:rPr>
          <w:color w:val="555555"/>
          <w:sz w:val="17"/>
        </w:rPr>
        <w:t xml:space="preserve">Zitiervorschlag: Volltext NW_28295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