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NW_28295 (Nordrhein-Westfalen)</w:t>
      </w:r>
    </w:p>
    <w:p>
      <w:r>
        <w:rPr>
          <w:color w:val="555555"/>
          <w:sz w:val="18"/>
        </w:rPr>
        <w:t xml:space="preserve">Verordnung zur Durchführung des Waffengesetzes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53 Waffengesetz wird den Kreispolizeibehörden übertragen.</w:t>
      </w:r>
    </w:p>
    <w:p>
      <w:r>
        <w:rPr>
          <w:color w:val="555555"/>
          <w:sz w:val="17"/>
        </w:rPr>
        <w:t xml:space="preserve">Zitiervorschlag: § 5 NW_28295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