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NW_28295 (Nordrhein-Westfalen)</w:t>
      </w:r>
    </w:p>
    <w:p>
      <w:r>
        <w:rPr>
          <w:color w:val="555555"/>
          <w:sz w:val="18"/>
        </w:rPr>
        <w:t xml:space="preserve">Verordnung zur Durchführung des Waffengesetzes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Waffengesetz ist auf</w:t>
      </w:r>
    </w:p>
    <w:p>
      <w:r>
        <w:t xml:space="preserve">die Gerichte,</w:t>
      </w:r>
    </w:p>
    <w:p>
      <w:r>
        <w:t xml:space="preserve">die Staatsanwaltschaften,</w:t>
      </w:r>
    </w:p>
    <w:p>
      <w:r>
        <w:t xml:space="preserve">die Justizvollzugsbehörden,</w:t>
      </w:r>
    </w:p>
    <w:p>
      <w:r>
        <w:t xml:space="preserve">die Forstbehörden und</w:t>
      </w:r>
    </w:p>
    <w:p>
      <w:r>
        <w:t xml:space="preserve">den Landesbetrieb Mess- und Eichwesen NRW</w:t>
      </w:r>
    </w:p>
    <w:p>
      <w:r>
        <w:t xml:space="preserve">sowie deren Bedienstete, wenn sie dienstlich tätig werden, nicht anzuwenden, soweit das Waffengesetz nicht ausdrücklich etwas anderes bestimmt. Zur Eigensicherung bei der Anwendung des unmittelbaren Zwanges nach dem Verwaltungsvollstreckungsgesetz NRW gilt für die Dienstkräfte der Ordnungsbehörden § 2 Abs. 3 Waffengesetz i.V.m. Anlage 2 Nr. 1.3.5 Waffengesetz nicht.</w:t>
      </w:r>
    </w:p>
    <w:p>
      <w:r>
        <w:rPr>
          <w:color w:val="555555"/>
          <w:sz w:val="17"/>
        </w:rPr>
        <w:t xml:space="preserve">Zitiervorschlag: § 4 NW_28295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https://recht.nulegal.eu/gesetze/NW_28295/4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