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NW_28294 (Nordrhein-Westfalen)</w:t>
      </w:r>
    </w:p>
    <w:p>
      <w:r>
        <w:rPr>
          <w:color w:val="555555"/>
          <w:sz w:val="18"/>
        </w:rPr>
        <w:t xml:space="preserve">Satzung des AAV - Verband für Flächenrecycling und Altlastensanierung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April 2003</w:t>
      </w:r>
    </w:p>
    <w:p>
      <w:r>
        <w:t xml:space="preserve">Auf Grund der §§ 7 Abs. 1 Satz 2, 8 und 12 Abs. 2 Nr. 1 des Gesetzes über die Gründung des Verbandes zur Sanierung und Aufbereitung von Altlasten (Altlastensanierungs- und Altlastenaufbereitungsverbandsgesetz Nordrhein-Westfalen - AAVG) vom 26. November 2002 (GV. NRW. S. 571) hat die Delegiertenversammlung am 1. April 2003 die folgende Satzung beschlossen:</w:t>
      </w:r>
    </w:p>
    <w:p>
      <w:r>
        <w:rPr>
          <w:color w:val="555555"/>
          <w:sz w:val="17"/>
        </w:rPr>
        <w:t xml:space="preserve">Zitiervorschlag: Volltext NW_28294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