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NW_28294 (Nordrhein-Westfalen) — Vertretung der oder des Verbandsvorsitzenden,Anwesenheit der Geschäftsführerin oder des Geschäftsführers in den Kommissionen</w:t>
      </w:r>
    </w:p>
    <w:p>
      <w:r>
        <w:rPr>
          <w:color w:val="555555"/>
          <w:sz w:val="18"/>
        </w:rPr>
        <w:t xml:space="preserve">Satzung des AAV - Verband für Flächenrecycling und Altlastensanierung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oder der Verbandsvorsitzende wird im Falle ihrer oder seiner Verhinderung durch die stellvertretende Vorsitzende oder den stellvertretenden Vorsitzenden vertreten.</w:t>
      </w:r>
    </w:p>
    <w:p>
      <w:r>
        <w:t xml:space="preserve">(2) Die Geschäftsführerin oder der Geschäftsführer oder ihr(e) Vertreter/in oder sein(e) Vertreter/in nimmt an den Sitzungen der Kommissionen beratend teil.</w:t>
      </w:r>
    </w:p>
    <w:p>
      <w:r>
        <w:rPr>
          <w:color w:val="555555"/>
          <w:sz w:val="17"/>
        </w:rPr>
        <w:t xml:space="preserve">Zitiervorschlag: § 7 NW_28294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