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NW_28294 (Nordrhein-Westfalen) — Gäste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11 Absatz 5 AAVG genannten Behörden, Körperschaften und Vereinigungen können an den Sitzungen der Delegiertenversammlung teilnehmen und sind zu den Sitzungen einzuladen.</w:t>
      </w:r>
    </w:p>
    <w:p>
      <w:r>
        <w:t xml:space="preserve">(2) Die Verbandsvorsitzende oder der Verbandsvorsitzende kann den in Absatz 1 genannten Gästen das Recht einräumen, sich zu einzelnen Tagesordnungspunkten zu äußern. Anträge können nicht gestellt werden.</w:t>
      </w:r>
    </w:p>
    <w:p>
      <w:r>
        <w:rPr>
          <w:color w:val="555555"/>
          <w:sz w:val="17"/>
        </w:rPr>
        <w:t xml:space="preserve">Zitiervorschlag: § 6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