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NW_28294 (Nordrhein-Westfalen) — Befugnisse der Geschäftsführerin/des Geschäftsführers</w:t>
      </w:r>
    </w:p>
    <w:p>
      <w:r>
        <w:rPr>
          <w:color w:val="555555"/>
          <w:sz w:val="18"/>
        </w:rPr>
        <w:t xml:space="preserve">Satzung des AAV - Verband für Flächenrecycling und Altlastensanierung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Geschäftsführerin oder der Geschäftsführer entscheidet über die Geschäfte und die sonstigen Angelegenheiten der laufenden Verwaltung, deren Wert im Einzelfall 1,0 Millionen € nicht übersteigt.</w:t>
      </w:r>
    </w:p>
    <w:p>
      <w:r>
        <w:t xml:space="preserve">(2) Die Beschlüsse der Verbandsorgane werden von der Geschäftsführerin oder dem Geschäftsführer ausgeführt, soweit die Verbandsorgane im Einzelfall nicht eine andere Regelung treffen.</w:t>
      </w:r>
    </w:p>
    <w:p>
      <w:r>
        <w:t xml:space="preserve">(3) In Fällen, die keinen Aufschub dulden, insbesondere bei Gefahr im Verzug, entscheidet die Geschäftsführerin oder der Geschäftsführer auch über Angelegenheiten, deren Wert den in Absatz 1 festgesetzten Betrag überschreitet. Diese Entscheidungen sind der oder dem Verbandsvorsitzenden sofort mitzuteilen und dem Vorstand in der nächsten Sitzung vorzulegen.</w:t>
      </w:r>
    </w:p>
    <w:p>
      <w:r>
        <w:rPr>
          <w:color w:val="555555"/>
          <w:sz w:val="17"/>
        </w:rPr>
        <w:t xml:space="preserve">Zitiervorschlag: § 4 NW_28294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https://recht.nulegal.eu/gesetze/NW_28294/4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