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NW_28294 (Nordrhein-Westfalen) — Kommissionen</w:t>
      </w:r>
    </w:p>
    <w:p>
      <w:r>
        <w:rPr>
          <w:color w:val="555555"/>
          <w:sz w:val="18"/>
        </w:rPr>
        <w:t xml:space="preserve">Satzung des AAV - Verband für Flächenrecycling und Altlastensanierung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Kommissionen unterstützen die Arbeit der Verbandsorgane. Die Delegiertenversammlung beschließt auf Vorschlag des Vorstandes über die Bildung und Besetzung von Kommissionen, insbesondere für die Aufgabenerfüllung des Verbandes gemäß § 2 und § 2a AAVG. Der Vorstand kann Nachbesetzungen beschließen.</w:t>
      </w:r>
    </w:p>
    <w:p>
      <w:r>
        <w:t xml:space="preserve">(2) In jeder Kommission sollen die Mitgliedergruppen im Sinne von § 6 Abs. 1 und 2 AAVG angemessen vertreten sein. Zu den Beratungen können die Kommissionen auch außerhalb des Verbandes stehende Personen hinzuziehen.</w:t>
      </w:r>
    </w:p>
    <w:p>
      <w:r>
        <w:t xml:space="preserve">(3) Die Mitglieder und stellvertretenden Mitglieder der Kommissionen sind verpflichtet, insbesondere über alle ihnen bei der Durchführung ihrer Aufgaben bekannt werdenden Betriebs- und Geschäftsgeheimnisse Verschwiegenheit zu bewahren.</w:t>
      </w:r>
    </w:p>
    <w:p>
      <w:r>
        <w:rPr>
          <w:color w:val="555555"/>
          <w:sz w:val="17"/>
        </w:rPr>
        <w:t xml:space="preserve">Zitiervorschlag: § 3 NW_28294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https://recht.nulegal.eu/gesetze/NW_28294/3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