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NW_28294 (Nordrhein-Westfalen) — Aufstellung und Änderung des Wirtschaftsplans</w:t>
      </w:r>
    </w:p>
    <w:p>
      <w:r>
        <w:rPr>
          <w:color w:val="555555"/>
          <w:sz w:val="18"/>
        </w:rPr>
        <w:t xml:space="preserve">Satzung des AAV - Verband für Flächenrecycling und Altlastensanierung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Geschäftsführerin oder der Geschäftsführer bereitet für jedes Wirtschaftsjahr vor seinem Beginn den Entwurf des Wirtschaftsplans vor. Der Vorstand beschließt den Wirtschaftsplanentwurf und legt ihn der Delegiertenversammlung zur Beschlussfassung vor.</w:t>
      </w:r>
    </w:p>
    <w:p>
      <w:r>
        <w:t xml:space="preserve">(2) Der Wirtschaftsplan ermächtigt den Vorstand und die Geschäftsführerin oder den Geschäftsführer im Rahmen ihrer gesetzlichen, satzungsgemäßen oder im Wirtschaftsplanbeschluss bestimmten Befugnisse, Ausgaben zu leisten und Verpflichtungen einzugehen.</w:t>
      </w:r>
    </w:p>
    <w:p>
      <w:r>
        <w:t xml:space="preserve">(3) Der Wirtschaftsplan ist gemäß § 18 Abs. 4 Nr. 1 AAVG zu ändern, wenn das Jahresergebnis sich gegenüber dem im Erfolgsplan ausgewiesenen Jahresergebnis erheblich verschlechtern wird. Eine erhebliche Verschlechterung liegt vor, wenn sich das Ergebnis um mehr als 10 %, mindestens jedoch um 500.000,-- € verschlechtert.</w:t>
      </w:r>
    </w:p>
    <w:p>
      <w:r>
        <w:rPr>
          <w:color w:val="555555"/>
          <w:sz w:val="17"/>
        </w:rPr>
        <w:t xml:space="preserve">Zitiervorschlag: § 10 NW_28294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https://recht.nulegal.eu/gesetze/NW_28294/10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