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NW_28292 (Nordrhein-Westfalen) — Pflicht zur Auskunftserteilung</w:t>
      </w:r>
    </w:p>
    <w:p>
      <w:r>
        <w:rPr>
          <w:color w:val="555555"/>
          <w:sz w:val="18"/>
        </w:rPr>
        <w:t xml:space="preserve">Satzung des Westdeutschen Rundfunks Köln,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Jedes Mitglied des Rundfunkrats und jedes stellvertretende Mitglied gibt gemäß 55b WDR-Gesetz in Verbindung mit § 16 Satz 1 des Korruptionsbekämpfungsgesetzes vom 16. Dezember 2004 (GV. NRW. 2005 S. 8), das zuletzt durch Artikel 3 des Gesetzes vom 22. März 2018 (GV. NRW. S. 172) geändert worden ist, die geforderten Auskünfte dem/der Vorsitzenden des Rundfunkrats. Die/ Der Vorsitzende des Rundfunkrats erteilt die geforderten Auskünfte der für die Rechtsaufsicht zuständigen Behörde.</w:t>
      </w:r>
    </w:p>
    <w:p>
      <w:r>
        <w:t xml:space="preserve">(2) Die Auskünfte erfolgen im Laufe einer Amtsperiode einmal im Jahr; Stichtag ist jeweils der 1. Januar eines Jahres.</w:t>
      </w:r>
    </w:p>
    <w:p>
      <w:r>
        <w:t xml:space="preserve">(3) Die Auskünfte betreffende relevante Änderungen sind jeweils umgehend mitzuteilen.</w:t>
      </w:r>
    </w:p>
    <w:p>
      <w:r>
        <w:t xml:space="preserve">(4) Die Auskünfte werden im Internet im Online-Auftritt des Rundfunkrats veröffentlicht.</w:t>
      </w:r>
    </w:p>
    <w:p>
      <w:r>
        <w:t xml:space="preserve">(5) Bei Neuentsendung bzw. Wahl in den Rundfunkrat und bei Neukonstituierung des Gremiums sind die entsprechenden Auskünfte so rechtzeitig abzugeben, dass sie unmittelbar mit Beginn der Mitgliedschaft veröffentlicht werden können.</w:t>
      </w:r>
    </w:p>
    <w:p>
      <w:r>
        <w:rPr>
          <w:color w:val="555555"/>
          <w:sz w:val="17"/>
        </w:rPr>
        <w:t xml:space="preserve">Zitiervorschlag: § 4a NW_28292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https://recht.nulegal.eu/gesetze/NW_28292/4a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