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NW_28292 (Nordrhein-Westfalen) — Inkrafttreten (Fn 3) (Fn 4)</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Satzung tritt am 1. Januar 1986 in Kraft.</w:t>
      </w:r>
    </w:p>
    <w:p>
      <w:r>
        <w:t xml:space="preserve">(2) Gleichzeitig tritt die „Satzung des Westdeutschen Rundfunks Köln“ vom 6. März 1956 (GV. NRW. S. 107), zuletzt geändert durch Beschluss des Rundfunkrats vom 26. Januar 1982 (GV. NRW. S. 78) außer Kraft.</w:t>
      </w:r>
    </w:p>
    <w:p>
      <w:r>
        <w:t xml:space="preserve">(3) § 20b verliert seine Gültigkeit, wenn die in § 21 Absatz 3 Satz 1 Nummer 5 und 9 sowie Absatz 4 des WDR-Gesetzes genannten Beträge nach dem 1. März 2024 durch den Gesetzgeber neu festgelegt werden.</w:t>
      </w:r>
    </w:p>
    <w:p>
      <w:r>
        <w:rPr>
          <w:color w:val="555555"/>
          <w:sz w:val="17"/>
        </w:rPr>
        <w:t xml:space="preserve">Zitiervorschlag: § 44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