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NW_28292 (Nordrhein-Westfalen) — Ausübung des Amts bei mehrfacher Ernennung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Sofern und solange der/die Rundfunkdatenschutzbeauftragte nach § 38 zum Mitglied der Datenschutzaufsichtsbehörde nach Artikel 51 der Datenschutz-Grundverordnung für mindestens eine weitere öffentlich-rechtliche Rundfunkanstalt ernannt ist oder wird, gelten Absatz 2 sowie die §§ 41 und 42.</w:t>
      </w:r>
    </w:p>
    <w:p>
      <w:r>
        <w:t xml:space="preserve">(2) Stellung, Aufgaben und Befugnisse gemäß der §§ 50 und 51 WDR-Gesetz sowie der §§ 35 und 36 bleiben von der gleichzeitigen Ernennung durch eine andere Rundfunkanstalt im Grundsatz unberührt.</w:t>
      </w:r>
    </w:p>
    <w:p>
      <w:r>
        <w:rPr>
          <w:color w:val="555555"/>
          <w:sz w:val="17"/>
        </w:rPr>
        <w:t xml:space="preserve">Zitiervorschlag: § 40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https://recht.nulegal.eu/gesetze/NW_28292/40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