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NW_28292 (Nordrhein-Westfalen) — Aufgaben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Der/die Intendant(in) leitet den WDR selbständig entsprechend dem WDR-Gesetz und dieser Satzung. Er/sie ist an die von den anderen Organen im Rahmen ihrer Zuständigkeiten gefassten Beschlüsse gebunden.</w:t>
      </w:r>
    </w:p>
    <w:p>
      <w:r>
        <w:t xml:space="preserve">(2) Der/die Intendant(in) hat die Aufgabenerfüllung der anderen Organe durch rechtzeitige Beschlussvorlagen vorzubereiten.</w:t>
      </w:r>
    </w:p>
    <w:p>
      <w:r>
        <w:t xml:space="preserve">IV.</w:t>
      </w:r>
    </w:p>
    <w:p>
      <w:r>
        <w:t xml:space="preserve">Schulrundfunkausschuss</w:t>
      </w:r>
    </w:p>
    <w:p>
      <w:r>
        <w:rPr>
          <w:color w:val="555555"/>
          <w:sz w:val="17"/>
        </w:rPr>
        <w:t xml:space="preserve">Zitiervorschlag: § 22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