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20b NW_28292 (Nordrhein-Westfalen) — Anpassung der Beträge des § 21 Absatz 3 und 4 WDR-Gesetz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Zum 1. März 2024 werden die Beträge gemäß § 21 Absatz 3 Satz 1 Nummer 5 und 9 WDR-Gesetz auf 250 000 Euro festgesetzt. Zum selben Stichtag werden die Beträge gemäß § 21 Absatz 4 Satz 1 WDR-Gesetz auf 330 000 Euro und auf 810 000 Euro festgesetzt.</w:t>
      </w:r>
    </w:p>
    <w:p>
      <w:r>
        <w:t xml:space="preserve">III.</w:t>
      </w:r>
    </w:p>
    <w:p>
      <w:r>
        <w:t xml:space="preserve">Intendant</w:t>
      </w:r>
    </w:p>
    <w:p>
      <w:r>
        <w:rPr>
          <w:color w:val="555555"/>
          <w:sz w:val="17"/>
        </w:rPr>
        <w:t xml:space="preserve">Zitiervorschlag: § 20b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https://recht.nulegal.eu/gesetze/NW_28292/20b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