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NW_28292 (Nordrhein-Westfalen) — Studios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Der/die Intendant(in) kann mit Zustimmung des Verwaltungsrats Studios im Sendegebiet und, soweit es für die Programmgestaltung zweckmäßig ist, außerhalb des Sendegebietes errichten oder auflösen. Darüber hinaus kann der/die Intendant (in) weitere Außenstellen (Büros) errichten oder auflösen. Hierüber unterrichtet er/sie die Vorsitzenden des Rundfunkrats und des Verwaltungsrats.</w:t>
      </w:r>
    </w:p>
    <w:p>
      <w:r>
        <w:t xml:space="preserve">(2) Studios und Büros bilden einen rechtlich unselbständigen Teil des WDR ohne eigene Organe.</w:t>
      </w:r>
    </w:p>
    <w:p>
      <w:r>
        <w:rPr>
          <w:color w:val="555555"/>
          <w:sz w:val="17"/>
        </w:rPr>
        <w:t xml:space="preserve">Zitiervorschlag: § 2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