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NW_28292 (Nordrhein-Westfalen) — Geschäftsordnung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kann sich eine Geschäftsordnung geben. Darin kann er insbesondere Einzelheiten der Beschlussfassung und der Wahlen sowie der Niederschriften regeln, soweit dies nicht durch Gesetz oder Satzung geschehen ist.</w:t>
      </w:r>
    </w:p>
    <w:p>
      <w:r>
        <w:t xml:space="preserve">(2) Die Geschäftsordnung und deren Änderungen sind dem Rundfunkrat und dem/der Intendant(en/in) mitzuteilen.</w:t>
      </w:r>
    </w:p>
    <w:p>
      <w:r>
        <w:rPr>
          <w:color w:val="555555"/>
          <w:sz w:val="17"/>
        </w:rPr>
        <w:t xml:space="preserve">Zitiervorschlag: § 19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