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NW_28292 (Nordrhein-Westfalen) — Sitzungen, Verfahren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Neben den ordentlichen Sitzungen des Verwaltungsrats gemäß § 22 Absatz 1 Satz 1 WDR-Gesetz werden außerordentliche Sitzungen einberufen:</w:t>
      </w:r>
    </w:p>
    <w:p>
      <w:r>
        <w:t xml:space="preserve">a) wenn der/die Vorsitzende es für erforderlich hält,</w:t>
      </w:r>
    </w:p>
    <w:p>
      <w:r>
        <w:t xml:space="preserve">b) wenn mindestens drei Mitglieder des Verwaltungsrats es beantragen,</w:t>
      </w:r>
    </w:p>
    <w:p>
      <w:r>
        <w:t xml:space="preserve">c) auf Antrag des/der Intendant(en/in).</w:t>
      </w:r>
    </w:p>
    <w:p>
      <w:r>
        <w:t xml:space="preserve">Der Antrag muss den Beratungsgegenstand angeben.</w:t>
      </w:r>
    </w:p>
    <w:p>
      <w:r>
        <w:t xml:space="preserve">(2) An den Sitzungen des Verwaltungsrats können außer den in § 23 Absatz 2 und 3 WDR-Gesetz genannten Personen die Direktor(en/innen) sowie im Benehmen mit dem/der Vorsitzenden von dem/der Intendant(en/in) zur Beratung hinzugezogene Mitarbeiter(innen) teilnehmen. § 7 Absatz 1 Satz 2 der Satzung gilt entsprechend.</w:t>
      </w:r>
    </w:p>
    <w:p>
      <w:r>
        <w:t xml:space="preserve">(3) Der Verwaltungsrat tagt in nichtöffentlicher, vertraulicher Sitzung. Die Niederschriften der Sitzungen des Verwaltungsrats sind ebenfalls vertraulich.</w:t>
      </w:r>
    </w:p>
    <w:p>
      <w:r>
        <w:t xml:space="preserve">(4) Der/Die Vorsitzende lädt die Mitglieder zu den Sitzungen mit einer Frist von einer Woche ein und übersendet die Tagesordnung. Die Frist kann aus wichtigem Grund auf einen Tag abgekürzt werden. § 8 Absatz 4 Satz 1 der Satzung gilt entsprechend.</w:t>
      </w:r>
    </w:p>
    <w:p>
      <w:r>
        <w:t xml:space="preserve">(5) Die Tagesordnung wird von dem/der Vorsitzenden festgelegt. Jedes Mitglied sowie der/die Intendant(in) können die Aufnahme einer Angelegenheit in die Tagesordnung schriftlich verlangen.</w:t>
      </w:r>
    </w:p>
    <w:p>
      <w:r>
        <w:t xml:space="preserve">(6) Für Beschlüsse und Wahlen gilt § 9 Absatz 1 Satz 1 und Absatz 2 der Satzung entsprechend.</w:t>
      </w:r>
    </w:p>
    <w:p>
      <w:r>
        <w:rPr>
          <w:color w:val="555555"/>
          <w:sz w:val="17"/>
        </w:rPr>
        <w:t xml:space="preserve">Zitiervorschlag: § 18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