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NW_28292 (Nordrhein-Westfalen) — Verfahren bei Programmangelegenheiten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Jedes Mitglied kann unter Angabe von Gründen schriftlich oder in einer Sitzung des Rundfunkrats die Beratung darüber beantragen, ob eine vom WDR ausgestrahlte Sendung gegen die Programmgrundsätze des WDR-Gesetzes verstoßen hat.</w:t>
      </w:r>
    </w:p>
    <w:p>
      <w:r>
        <w:t xml:space="preserve">(2) Der Programmausschuss berät über den Antrag, nachdem er eine Stellungnahme des/der Intendant(en/in) eingeholt hat. Der beanstandete Programmbeitrag muss auf Antrag von fünf Mitgliedern vorgeführt werden. Der Programmausschuss teilt sein Beratungsergebnis dem Rundfunkrat baldmöglich mit.</w:t>
      </w:r>
    </w:p>
    <w:p>
      <w:r>
        <w:t xml:space="preserve">(3) Der Rundfunkrat entscheidet in der Regel in der darauf folgenden Sitzung, ob die Sendung gegen einen im WDR-Gesetz normierten Programmgrundsatz verstoßen hat. Die Feststellung eines Verstoßes ist schriftlich zu begründen.</w:t>
      </w:r>
    </w:p>
    <w:p>
      <w:r>
        <w:rPr>
          <w:color w:val="555555"/>
          <w:sz w:val="17"/>
        </w:rPr>
        <w:t xml:space="preserve">Zitiervorschlag: § 10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