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NW_28287 (Nordrhein-Westfalen) — Bezugnahme auf aufgehobeneVorschriften</w:t>
      </w:r>
    </w:p>
    <w:p>
      <w:r>
        <w:rPr>
          <w:color w:val="555555"/>
          <w:sz w:val="18"/>
        </w:rPr>
        <w:t xml:space="preserve">Verwaltungsvollstreckungsgesetz für das Land Nordrhein-Westfalen (Verwaltungsvollstreckungsgesetz NRW - VwVG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die Vollstreckung in Landesgesetzen abweichend von diesem Gesetz geregelt ist, sind die Bestimmungen dieses Gesetzes anzuwenden. Die §§ 3 und 3a bleiben unberührt.</w:t>
      </w:r>
    </w:p>
    <w:p>
      <w:r>
        <w:t xml:space="preserve">(2) Soweit in Gesetzen und Verordnungen auf Vorschriften Bezug genommen ist, die durch dieses Gesetz außer Kraft gesetzt werden, tritt an ihre Stelle die Bezugnahme auf die entsprechenden Vorschriften dieses Gesetzes.</w:t>
      </w:r>
    </w:p>
    <w:p>
      <w:r>
        <w:rPr>
          <w:color w:val="555555"/>
          <w:sz w:val="17"/>
        </w:rPr>
        <w:t xml:space="preserve">Zitiervorschlag: § 80 NW_28287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https://recht.nulegal.eu/gesetze/NW_28287/80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