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NW_28287 (Nordrhein-Westfalen) — Vollstreckung gegen juristische Personendes öffentlichen Rechts</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Zwangsverfahren wegen einer Geldforderung wird auch gegen Gemeinden, Gemeindeverbände sowie Körperschaften, Anstalten und Stiftungen des öffentlichen Rechts, die der Landesaufsicht unterstehen, nach diesem Gesetz, jedoch nach Maßgabe folgender Vorschriften durchgeführt.</w:t>
      </w:r>
    </w:p>
    <w:p>
      <w:r>
        <w:t xml:space="preserve">(2) Zur Einleitung der Zwangsvollstreckung bedarf es - soweit nicht dingliche Rechte verfolgt werden - einer Zulassungsverfügung der Aufsichtsbehörde. Darin hat diese auf Antrag der Vollstreckungsbehörde die Vermögensgegenstände zu bestimmen, in die eine Zwangsvollstreckung zugelassen wird, und über den Zeitpunkt zu befinden, zu dem sie stattfinden soll.</w:t>
      </w:r>
    </w:p>
    <w:p>
      <w:r>
        <w:t xml:space="preserve">(3) Die Aufsichtsbehörde darf die Zwangsvollstreckung in Vermögensgegenstände des Schuldners nicht zulassen, wenn dadurch die Erfüllung der öffentlich-rechtlichen Aufgaben des Schuldners gefährdet würde, bei einer Gemeinde oder einem Gemeindeverband auch dann nicht, wenn der geordnete Gang der Verwaltung oder die Versorgung der Bevölkerung gefährdet würde. Ein Insolvenzverfahren findet nicht statt.</w:t>
      </w:r>
    </w:p>
    <w:p>
      <w:r>
        <w:t xml:space="preserve">(4) Die besonderen Vorschriften der Absätze 2 und 3 gelten nicht für das Zwangsverfahren gegen Kreditanstalten und Versicherungsanstalten des öffentlichen Rechts. Hinsichtlich des Zwangsverfahrens gegen Gemeinden und Gemeindeverbände bleibt § 128 der Gemeindeordnung in der Fassung der Bekanntmachung vom 14. Juli 1994 (GV. NRW. S. 666) in der jeweils geltenden Fassung unberührt.</w:t>
      </w:r>
    </w:p>
    <w:p>
      <w:r>
        <w:t xml:space="preserve">(5) Wegen eines Zwangsverfahrens gegen das Land trifft im Einzelfall das zuständige Fachministerium im Einvernehmen mit dem für Finanzen zuständigen Ministerium auf Antrag der Vollstreckungsbehörde die näheren Bestimmungen, es sei denn, dass es sich um die Verfolgung dinglicher Rechte handelt.</w:t>
      </w:r>
    </w:p>
    <w:p>
      <w:r>
        <w:t xml:space="preserve">Fünfter Abschnitt</w:t>
      </w:r>
    </w:p>
    <w:p>
      <w:r>
        <w:t xml:space="preserve">Übergangs- und Schlussvorschriften</w:t>
      </w:r>
    </w:p>
    <w:p>
      <w:r>
        <w:rPr>
          <w:color w:val="555555"/>
          <w:sz w:val="17"/>
        </w:rPr>
        <w:t xml:space="preserve">Zitiervorschlag: § 78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