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NW_28287 (Nordrhein-Westfalen) — Kosten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Amtshandlungen nach diesem Gesetz werden nach näherer Bestimmung einer Ausführungsverordnung VwVG von dem Vollstreckungsschuldner oder dem Pflichtigen Kosten (Gebühren und Auslagen) erhoben. Kostengläubiger ist der Rechtsträger, dessen Behörde die Amtshandlung vornimmt, bei Auslagen auch der Rechtsträger, bei dessen Behörde die Auslagen entstanden sind.</w:t>
      </w:r>
    </w:p>
    <w:p>
      <w:r>
        <w:t xml:space="preserve">(2) Das für Inneres zuständige Ministerium und das für Finanzen zuständige Ministerium werden ermächtigt, durch Rechtsverordnung die Ausführungsverordnung VwVG zu erlassen. In der Ausführungsverordnung VwVG sind die gebührenpflichtigen Tatbestände zu bestimmen. Bei der Vollstreckung von Geldforderungen können Mahn-, Pfändungs-, Wegnahme-, Versteigerungs-, Verwertungs- und Dokumentengebühren sowie Gebühren für die Abnahme der Vermögensauskunft vorgesehen werden. Für diese sind feste Gebührensätze und Prozentsätze festzulegen. Für Amtshandlungen im Zusammenhang mit dem Verwaltungszwang, einschließlich der Sicherstellung und Verwahrung, können Verwaltungsgebühren vorgesehen werden. Die Gebühren sind durch feste Sätze oder Rahmensätze zu bestimmen. Im Falle der Ersatzvornahme kann auch eine Pauschale vorgesehen werden. Die Pauschale beträgt</w:t>
      </w:r>
    </w:p>
    <w:p>
      <w:r>
        <w:t xml:space="preserve">1. 10 Prozent des Betrages, der aufgrund des § 59 Absatz 1 vom Pflichtigen zu zahlen ist,</w:t>
      </w:r>
    </w:p>
    <w:p>
      <w:r>
        <w:t xml:space="preserve">2. 5 Prozent für den Mehrbetrag, der über 2 500 Euro hinausgeht,</w:t>
      </w:r>
    </w:p>
    <w:p>
      <w:r>
        <w:t xml:space="preserve">3. 3 Prozent für den Mehrbetrag, der über 25 000 Euro hinausgeht, sowie</w:t>
      </w:r>
    </w:p>
    <w:p>
      <w:r>
        <w:t xml:space="preserve">4. 1 Prozent für den Mehrbetrag, der über 50 000 Euro hinausgeht.</w:t>
      </w:r>
    </w:p>
    <w:p>
      <w:r>
        <w:t xml:space="preserve">(3) Bei der Vollstreckung von Geldforderungen sind die Gebührensätze so zu bemessen, dass zwischen der den Verwaltungsaufwand berücksichtigenden Höhe der Gebühr einerseits und der Höhe der Forderung oder anderer Vermögensrechte oder des Wertes der Sachen, die gepfändet oder versteigert werden sollen, andererseits ein angemessenes Verhältnis besteht. In den Fällen des Verwaltungszwangs einschließlich der Sicherstellung und Verwahrung berücksichtigen die Gebührentatbestände und die Gebührenfestsetzungen den durchschnittlichen Verwaltungsaufwand.</w:t>
      </w:r>
    </w:p>
    <w:p>
      <w:r>
        <w:t xml:space="preserve">(4) Die §§ 10, 11, 14, 17 bis 22 des Gebührengesetzes für das Land Nordrhein-Westfalen vom 23. August 1999 (GV. NRW. S. 524), in der jeweils geltenden Fassung, finden Anwendung. In der Ausführungsverordnung VwVG können abweichend der Umfang der zu erstattenden Auslagen, die Entstehung und Fälligkeit des Gebührenanspruchs oder die Fälligkeit des Auslagenersatzes, die Gebührenberechnung, -befreiung und -ermäßigung, die Kostenhaftung und der Gebührenerlass geregelt werden.</w:t>
      </w:r>
    </w:p>
    <w:p>
      <w:r>
        <w:t xml:space="preserve">(5) Bei einer Ersatzvornahme, Sicherstellung oder Verwahrung kann in der Ausführungsverordnung VwVG die Herausgabe der Sache von der Zahlung eines Vorschusses oder einer Sicherheitsleistung bis zur voraussichtlichen Höhe der noch festzusetzenden Kosten abhängig gemacht und hierfür die Fälligkeit vorgesehen werden.</w:t>
      </w:r>
    </w:p>
    <w:p>
      <w:r>
        <w:t xml:space="preserve">Vierter Abschnitt</w:t>
      </w:r>
    </w:p>
    <w:p>
      <w:r>
        <w:t xml:space="preserve">Vollstreckung gegen juristische Personen</w:t>
      </w:r>
    </w:p>
    <w:p>
      <w:r>
        <w:t xml:space="preserve">des öffentlichen Rechts</w:t>
      </w:r>
    </w:p>
    <w:p>
      <w:r>
        <w:rPr>
          <w:color w:val="555555"/>
          <w:sz w:val="17"/>
        </w:rPr>
        <w:t xml:space="preserve">Zitiervorschlag: § 77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