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NW_28287 (Nordrhein-Westfalen) — Notwehr und Notstand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Vorschriften über Notwehr und Notstand bleiben unberührt.</w:t>
      </w:r>
    </w:p>
    <w:p>
      <w:r>
        <w:t xml:space="preserve">Dritter Unterabschnitt</w:t>
      </w:r>
    </w:p>
    <w:p>
      <w:r>
        <w:t xml:space="preserve">Vollzug gegen Behörden</w:t>
      </w:r>
    </w:p>
    <w:p>
      <w:r>
        <w:rPr>
          <w:color w:val="555555"/>
          <w:sz w:val="17"/>
        </w:rPr>
        <w:t xml:space="preserve">Zitiervorschlag: § 75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https://recht.nulegal.eu/gesetze/NW_28287/75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