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NW_28287 (Nordrhein-Westfalen) — Einstellung und Beschränkung der Vollstreckung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Vollstreckung ist einzustellen oder zu beschränken, wenn</w:t>
      </w:r>
    </w:p>
    <w:p>
      <w:r>
        <w:t xml:space="preserve">1. die Vollziehbarkeit des Leistungsbescheides gehemmt wurde,</w:t>
      </w:r>
    </w:p>
    <w:p>
      <w:r>
        <w:t xml:space="preserve">2. der Verwaltungsakt, aus dem vollstreckt wird, bestands- oder rechtskräftig aufgehoben wurde und nicht auf Grund der Entscheidung ein neuer Verwaltungsakt zu erlassen ist oder der Verwaltungsakt nichtig ist,</w:t>
      </w:r>
    </w:p>
    <w:p>
      <w:r>
        <w:t xml:space="preserve">3. der Anspruch auf die Leistung, vom Schuldner durch die Vorlage von Urkunden nachweisbar, erloschen ist,</w:t>
      </w:r>
    </w:p>
    <w:p>
      <w:r>
        <w:t xml:space="preserve">4. die Leistung, vom Schuldner durch die Vorlage von Urkunden nachweisbar, gestundet worden ist,</w:t>
      </w:r>
    </w:p>
    <w:p>
      <w:r>
        <w:t xml:space="preserve">5. eine Entscheidung nach § 26 vorliegt oder</w:t>
      </w:r>
    </w:p>
    <w:p>
      <w:r>
        <w:t xml:space="preserve">6. die Anordnungsbehörde um die Einstellung oder Beschränkung ersucht.</w:t>
      </w:r>
    </w:p>
    <w:p>
      <w:r>
        <w:t xml:space="preserve">(2) In den Fällen des Absatzes 1 Nummer 2 und 3 sind bereits getroffene Vollstreckungsmaßnahmen aufzuheben. Im Übrigen bleiben die Vollstreckungsmaßnahmen bestehen, soweit nicht ihre Aufhebung ausdrücklich angeordnet worden ist.</w:t>
      </w:r>
    </w:p>
    <w:p>
      <w:r>
        <w:rPr>
          <w:color w:val="555555"/>
          <w:sz w:val="17"/>
        </w:rPr>
        <w:t xml:space="preserve">Zitiervorschlag: § 6a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https://recht.nulegal.eu/gesetze/NW_28287/6a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