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69 NW_28287 (Nordrhein-Westfalen) — Androhung unmittelbaren Zwanges</w:t>
      </w:r>
    </w:p>
    <w:p>
      <w:r>
        <w:rPr>
          <w:color w:val="555555"/>
          <w:sz w:val="18"/>
        </w:rPr>
        <w:t xml:space="preserve">Verwaltungsvollstreckungsgesetz für das Land Nordrhein-Westfalen (Verwaltungsvollstreckungsgesetz NRW - VwVG NRW),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Unmittelbarer Zwang ist vor seiner Anwendung anzudrohen. Von der Androhung kann abgesehen werden, wenn die Umstände sie nicht zulassen, insbesondere wenn die sofortige Anwendung des Zwangsmittels zur Abwehr einer Gefahr notwendig ist.</w:t>
      </w:r>
    </w:p>
    <w:p>
      <w:r>
        <w:t xml:space="preserve">(2) Unmittelbarer Zwang ist schriftlich anzudrohen, wenn dies gesetzlich vorgeschrieben ist.</w:t>
      </w:r>
    </w:p>
    <w:p>
      <w:r>
        <w:rPr>
          <w:color w:val="555555"/>
          <w:sz w:val="17"/>
        </w:rPr>
        <w:t xml:space="preserve">Zitiervorschlag: § 69 NW_28287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https://recht.nulegal.eu/gesetze/NW_28287/69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