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NW_28287 (Nordrhein-Westfalen) — Begriffsbestimmungen, zugelassene Waffen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Unmittelbarer Zwang ist die Einwirkung auf Personen oder Sachen durch körperliche Gewalt, ihre Hilfsmittel und durch Waffen.</w:t>
      </w:r>
    </w:p>
    <w:p>
      <w:r>
        <w:t xml:space="preserve">(2) Körperliche Gewalt ist jede unmittelbare körperliche Einwirkung auf Personen oder Sachen.</w:t>
      </w:r>
    </w:p>
    <w:p>
      <w:r>
        <w:t xml:space="preserve">(3) Hilfsmittel der körperlichen Gewalt sind insbesondere Fesseln, technische Sperren, Diensthunde, Dienstfahrzeuge, Reiz- und Betäubungsstoffe.</w:t>
      </w:r>
    </w:p>
    <w:p>
      <w:r>
        <w:t xml:space="preserve">(4) Als Waffen sind Schlagstock, Pistole und Revolver zugelassen.</w:t>
      </w:r>
    </w:p>
    <w:p>
      <w:r>
        <w:rPr>
          <w:color w:val="555555"/>
          <w:sz w:val="17"/>
        </w:rPr>
        <w:t xml:space="preserve">Zitiervorschlag: § 67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https://recht.nulegal.eu/gesetze/NW_28287/67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